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C23" w:rsidRPr="00BF3012" w:rsidRDefault="00F241BD" w:rsidP="00BF3012">
      <w:pPr>
        <w:spacing w:before="240"/>
        <w:jc w:val="center"/>
        <w:rPr>
          <w:b/>
          <w:sz w:val="32"/>
          <w:szCs w:val="20"/>
        </w:rPr>
      </w:pPr>
      <w:r>
        <w:rPr>
          <w:b/>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69.75pt">
            <v:imagedata r:id="rId9" o:title="djcis_journal_header_v2"/>
          </v:shape>
        </w:pict>
      </w:r>
    </w:p>
    <w:p w:rsidR="00A34C23" w:rsidRPr="00BF3012" w:rsidRDefault="00A34C23" w:rsidP="00A34C23">
      <w:pPr>
        <w:spacing w:before="240"/>
        <w:rPr>
          <w:b/>
          <w:szCs w:val="20"/>
        </w:rPr>
      </w:pPr>
      <w:r w:rsidRPr="00BF3012">
        <w:rPr>
          <w:b/>
          <w:szCs w:val="20"/>
        </w:rPr>
        <w:t>Original Research Article</w:t>
      </w:r>
    </w:p>
    <w:p w:rsidR="00742C8D" w:rsidRPr="00742C8D" w:rsidRDefault="00742C8D" w:rsidP="00742C8D">
      <w:pPr>
        <w:spacing w:before="100" w:beforeAutospacing="1" w:after="100" w:afterAutospacing="1"/>
        <w:jc w:val="center"/>
        <w:outlineLvl w:val="0"/>
        <w:rPr>
          <w:b/>
          <w:bCs/>
          <w:kern w:val="36"/>
          <w:sz w:val="36"/>
          <w:szCs w:val="36"/>
        </w:rPr>
      </w:pPr>
      <w:r w:rsidRPr="00742C8D">
        <w:rPr>
          <w:b/>
          <w:bCs/>
          <w:kern w:val="36"/>
          <w:sz w:val="36"/>
          <w:szCs w:val="36"/>
        </w:rPr>
        <w:t>SERVERLESS ARCHITECTURE AND ITS IMPACT ON SCALABLE WEB SERVICES</w:t>
      </w:r>
    </w:p>
    <w:p w:rsidR="008B7C69" w:rsidRPr="00BF3012" w:rsidRDefault="00F64EEE" w:rsidP="00BF3012">
      <w:pPr>
        <w:spacing w:before="240"/>
        <w:rPr>
          <w:rFonts w:cs="Calibri"/>
          <w:b/>
          <w:szCs w:val="20"/>
        </w:rPr>
      </w:pPr>
      <w:r>
        <w:rPr>
          <w:rFonts w:cs="Calibri"/>
          <w:b/>
          <w:szCs w:val="20"/>
        </w:rPr>
        <w:t>*</w:t>
      </w:r>
      <w:r w:rsidR="00F167F7">
        <w:rPr>
          <w:rFonts w:cs="Calibri"/>
          <w:b/>
          <w:szCs w:val="20"/>
        </w:rPr>
        <w:t>Author</w:t>
      </w:r>
      <w:r w:rsidR="00463B7D">
        <w:rPr>
          <w:rFonts w:cs="Calibri"/>
          <w:b/>
          <w:szCs w:val="20"/>
        </w:rPr>
        <w:t xml:space="preserve">, </w:t>
      </w:r>
      <w:r w:rsidR="00F167F7">
        <w:rPr>
          <w:rFonts w:cs="Calibri"/>
          <w:b/>
          <w:szCs w:val="20"/>
        </w:rPr>
        <w:t>A.B</w:t>
      </w:r>
      <w:r w:rsidRPr="00F64EEE">
        <w:rPr>
          <w:rFonts w:cs="Calibri"/>
          <w:b/>
          <w:szCs w:val="20"/>
        </w:rPr>
        <w:t>.,</w:t>
      </w:r>
      <w:r w:rsidRPr="00F64EEE">
        <w:rPr>
          <w:rFonts w:cs="Calibri"/>
          <w:b/>
          <w:szCs w:val="20"/>
          <w:vertAlign w:val="superscript"/>
        </w:rPr>
        <w:t xml:space="preserve"> </w:t>
      </w:r>
      <w:r w:rsidR="00F167F7">
        <w:rPr>
          <w:rFonts w:cs="Calibri"/>
          <w:b/>
          <w:szCs w:val="20"/>
        </w:rPr>
        <w:t>Author</w:t>
      </w:r>
      <w:r w:rsidR="00463B7D">
        <w:rPr>
          <w:rFonts w:cs="Calibri"/>
          <w:b/>
          <w:szCs w:val="20"/>
        </w:rPr>
        <w:t xml:space="preserve">, </w:t>
      </w:r>
      <w:r w:rsidR="00F167F7">
        <w:rPr>
          <w:rFonts w:cs="Calibri"/>
          <w:b/>
          <w:szCs w:val="20"/>
        </w:rPr>
        <w:t>B.C</w:t>
      </w:r>
      <w:r w:rsidRPr="00F64EEE">
        <w:rPr>
          <w:rFonts w:cs="Calibri"/>
          <w:b/>
          <w:szCs w:val="20"/>
        </w:rPr>
        <w:t xml:space="preserve">. and </w:t>
      </w:r>
      <w:r w:rsidR="00F167F7">
        <w:rPr>
          <w:rFonts w:cs="Calibri"/>
          <w:b/>
          <w:szCs w:val="20"/>
        </w:rPr>
        <w:t>Author</w:t>
      </w:r>
      <w:r w:rsidRPr="00F64EEE">
        <w:rPr>
          <w:rFonts w:cs="Calibri"/>
          <w:b/>
          <w:szCs w:val="20"/>
        </w:rPr>
        <w:t xml:space="preserve">, </w:t>
      </w:r>
      <w:r w:rsidR="00F167F7">
        <w:rPr>
          <w:rFonts w:cs="Calibri"/>
          <w:b/>
          <w:szCs w:val="20"/>
        </w:rPr>
        <w:t>D.E</w:t>
      </w:r>
      <w:r w:rsidRPr="00F64EEE">
        <w:rPr>
          <w:rFonts w:cs="Calibri"/>
          <w:b/>
          <w:szCs w:val="20"/>
        </w:rPr>
        <w:t>.</w:t>
      </w:r>
      <w:r w:rsidR="00404AEC" w:rsidRPr="00BF3012">
        <w:rPr>
          <w:rFonts w:cs="Calibri"/>
          <w:b/>
          <w:szCs w:val="20"/>
        </w:rPr>
        <w:t xml:space="preserve"> </w:t>
      </w:r>
    </w:p>
    <w:p w:rsidR="006B43ED" w:rsidRDefault="00F64EEE" w:rsidP="00151953">
      <w:pPr>
        <w:spacing w:before="240"/>
      </w:pPr>
      <w:proofErr w:type="gramStart"/>
      <w:r w:rsidRPr="00F64EEE">
        <w:rPr>
          <w:rFonts w:cs="Calibri"/>
          <w:sz w:val="20"/>
          <w:szCs w:val="20"/>
        </w:rPr>
        <w:t xml:space="preserve">Department of </w:t>
      </w:r>
      <w:r w:rsidR="007441C0">
        <w:rPr>
          <w:rFonts w:cs="Calibri"/>
          <w:sz w:val="20"/>
          <w:szCs w:val="20"/>
        </w:rPr>
        <w:t>Cybersecurity and Data Science, Faculty of Computing</w:t>
      </w:r>
      <w:r w:rsidRPr="00F64EEE">
        <w:rPr>
          <w:rFonts w:cs="Calibri"/>
          <w:sz w:val="20"/>
          <w:szCs w:val="20"/>
        </w:rPr>
        <w:t xml:space="preserve">, </w:t>
      </w:r>
      <w:r w:rsidR="007441C0">
        <w:rPr>
          <w:rFonts w:cs="Calibri"/>
          <w:sz w:val="20"/>
          <w:szCs w:val="20"/>
        </w:rPr>
        <w:t>Del</w:t>
      </w:r>
      <w:bookmarkStart w:id="0" w:name="_GoBack"/>
      <w:bookmarkEnd w:id="0"/>
      <w:r w:rsidR="007441C0">
        <w:rPr>
          <w:rFonts w:cs="Calibri"/>
          <w:sz w:val="20"/>
          <w:szCs w:val="20"/>
        </w:rPr>
        <w:t xml:space="preserve">ta State </w:t>
      </w:r>
      <w:r w:rsidRPr="00F64EEE">
        <w:rPr>
          <w:rFonts w:cs="Calibri"/>
          <w:sz w:val="20"/>
          <w:szCs w:val="20"/>
        </w:rPr>
        <w:t>University</w:t>
      </w:r>
      <w:r w:rsidR="007441C0">
        <w:rPr>
          <w:rFonts w:cs="Calibri"/>
          <w:sz w:val="20"/>
          <w:szCs w:val="20"/>
        </w:rPr>
        <w:t>, Abraka</w:t>
      </w:r>
      <w:r w:rsidRPr="00F64EEE">
        <w:rPr>
          <w:rFonts w:cs="Calibri"/>
          <w:sz w:val="20"/>
          <w:szCs w:val="20"/>
        </w:rPr>
        <w:t>,</w:t>
      </w:r>
      <w:r w:rsidR="007441C0">
        <w:rPr>
          <w:rFonts w:cs="Calibri"/>
          <w:sz w:val="20"/>
          <w:szCs w:val="20"/>
        </w:rPr>
        <w:t xml:space="preserve"> Nigeria</w:t>
      </w:r>
      <w:r w:rsidR="006B43ED" w:rsidRPr="006B43ED">
        <w:rPr>
          <w:rFonts w:cs="Calibri"/>
          <w:sz w:val="20"/>
          <w:szCs w:val="20"/>
        </w:rPr>
        <w:t>.</w:t>
      </w:r>
      <w:proofErr w:type="gramEnd"/>
      <w:r w:rsidR="008335AC" w:rsidRPr="008335AC">
        <w:t xml:space="preserve"> </w:t>
      </w:r>
    </w:p>
    <w:p w:rsidR="00404AEC" w:rsidRPr="00BF3012" w:rsidRDefault="008335AC" w:rsidP="006B43ED">
      <w:pPr>
        <w:rPr>
          <w:rFonts w:cs="Calibri"/>
          <w:sz w:val="20"/>
          <w:szCs w:val="20"/>
        </w:rPr>
      </w:pPr>
      <w:r>
        <w:t>*</w:t>
      </w:r>
      <w:r w:rsidR="007441C0">
        <w:rPr>
          <w:rFonts w:cs="Calibri"/>
          <w:sz w:val="20"/>
          <w:szCs w:val="20"/>
        </w:rPr>
        <w:t>evroro@delsu</w:t>
      </w:r>
      <w:r w:rsidR="00F64EEE" w:rsidRPr="00F64EEE">
        <w:rPr>
          <w:rFonts w:cs="Calibri"/>
          <w:sz w:val="20"/>
          <w:szCs w:val="20"/>
        </w:rPr>
        <w:t>.edu</w:t>
      </w:r>
      <w:r w:rsidR="007441C0">
        <w:rPr>
          <w:rFonts w:cs="Calibri"/>
          <w:sz w:val="20"/>
          <w:szCs w:val="20"/>
        </w:rPr>
        <w:t>.ng/</w:t>
      </w:r>
      <w:r w:rsidR="007441C0" w:rsidRPr="007441C0">
        <w:t xml:space="preserve"> </w:t>
      </w:r>
      <w:r w:rsidR="007441C0" w:rsidRPr="007441C0">
        <w:rPr>
          <w:sz w:val="20"/>
          <w:szCs w:val="20"/>
        </w:rPr>
        <w:t>ORCID: 0000-0002-9876-5432</w:t>
      </w:r>
    </w:p>
    <w:p w:rsidR="00A34C23" w:rsidRPr="00BF3012" w:rsidRDefault="00A34C23" w:rsidP="00FE4833">
      <w:pPr>
        <w:jc w:val="both"/>
        <w:rPr>
          <w:rFonts w:cs="Calibri"/>
          <w:b/>
          <w:sz w:val="20"/>
          <w:szCs w:val="20"/>
        </w:rPr>
      </w:pPr>
    </w:p>
    <w:tbl>
      <w:tblPr>
        <w:tblW w:w="0" w:type="auto"/>
        <w:tblInd w:w="198" w:type="dxa"/>
        <w:tblBorders>
          <w:top w:val="single" w:sz="4" w:space="0" w:color="auto"/>
          <w:bottom w:val="single" w:sz="4" w:space="0" w:color="auto"/>
        </w:tblBorders>
        <w:tblLook w:val="04A0" w:firstRow="1" w:lastRow="0" w:firstColumn="1" w:lastColumn="0" w:noHBand="0" w:noVBand="1"/>
      </w:tblPr>
      <w:tblGrid>
        <w:gridCol w:w="3060"/>
        <w:gridCol w:w="328"/>
        <w:gridCol w:w="6127"/>
      </w:tblGrid>
      <w:tr w:rsidR="00BF3012" w:rsidRPr="00BE21D5" w:rsidTr="00607E82">
        <w:trPr>
          <w:trHeight w:val="539"/>
        </w:trPr>
        <w:tc>
          <w:tcPr>
            <w:tcW w:w="3060" w:type="dxa"/>
            <w:tcBorders>
              <w:top w:val="single" w:sz="4" w:space="0" w:color="auto"/>
              <w:bottom w:val="single" w:sz="12" w:space="0" w:color="auto"/>
            </w:tcBorders>
            <w:shd w:val="clear" w:color="auto" w:fill="auto"/>
            <w:vAlign w:val="center"/>
          </w:tcPr>
          <w:p w:rsidR="00BF3012" w:rsidRPr="00BE21D5" w:rsidRDefault="00607E82" w:rsidP="00BE21D5">
            <w:pPr>
              <w:jc w:val="both"/>
              <w:rPr>
                <w:rFonts w:eastAsia="Calibri" w:cs="Calibri"/>
                <w:b/>
                <w:sz w:val="22"/>
                <w:szCs w:val="20"/>
              </w:rPr>
            </w:pPr>
            <w:r w:rsidRPr="00BE21D5">
              <w:rPr>
                <w:rFonts w:eastAsia="Calibri" w:cs="Calibri"/>
                <w:b/>
                <w:sz w:val="22"/>
                <w:szCs w:val="20"/>
              </w:rPr>
              <w:t xml:space="preserve">ARTICLE </w:t>
            </w:r>
            <w:r w:rsidR="00DC7A17" w:rsidRPr="000F0D2E">
              <w:rPr>
                <w:rFonts w:eastAsia="Calibri" w:cs="Calibri"/>
                <w:b/>
                <w:sz w:val="22"/>
                <w:szCs w:val="20"/>
              </w:rPr>
              <w:t>INFO</w:t>
            </w:r>
            <w:r w:rsidR="00DC7A17">
              <w:rPr>
                <w:rFonts w:eastAsia="Calibri" w:cs="Calibri"/>
                <w:b/>
                <w:sz w:val="22"/>
                <w:szCs w:val="20"/>
              </w:rPr>
              <w:t>RMATION</w:t>
            </w:r>
          </w:p>
        </w:tc>
        <w:tc>
          <w:tcPr>
            <w:tcW w:w="328" w:type="dxa"/>
            <w:shd w:val="clear" w:color="auto" w:fill="auto"/>
            <w:vAlign w:val="center"/>
          </w:tcPr>
          <w:p w:rsidR="00BF3012" w:rsidRPr="00BE21D5" w:rsidRDefault="00BF3012" w:rsidP="00BE21D5">
            <w:pPr>
              <w:jc w:val="both"/>
              <w:rPr>
                <w:rFonts w:ascii="Calibri" w:eastAsia="Calibri" w:hAnsi="Calibri" w:cs="Calibri"/>
                <w:b/>
                <w:sz w:val="22"/>
                <w:szCs w:val="20"/>
              </w:rPr>
            </w:pPr>
          </w:p>
        </w:tc>
        <w:tc>
          <w:tcPr>
            <w:tcW w:w="6127" w:type="dxa"/>
            <w:tcBorders>
              <w:top w:val="single" w:sz="4" w:space="0" w:color="auto"/>
              <w:bottom w:val="single" w:sz="12" w:space="0" w:color="auto"/>
            </w:tcBorders>
            <w:shd w:val="clear" w:color="auto" w:fill="auto"/>
            <w:vAlign w:val="center"/>
          </w:tcPr>
          <w:p w:rsidR="00BF3012" w:rsidRPr="00BE21D5" w:rsidRDefault="00607E82" w:rsidP="00BE21D5">
            <w:pPr>
              <w:jc w:val="both"/>
              <w:rPr>
                <w:rFonts w:eastAsia="Calibri" w:cs="Calibri"/>
                <w:b/>
                <w:sz w:val="22"/>
                <w:szCs w:val="20"/>
              </w:rPr>
            </w:pPr>
            <w:r w:rsidRPr="00BE21D5">
              <w:rPr>
                <w:rFonts w:eastAsia="Calibri" w:cs="Calibri"/>
                <w:b/>
                <w:sz w:val="22"/>
                <w:szCs w:val="20"/>
              </w:rPr>
              <w:t>ABSTRACT</w:t>
            </w:r>
          </w:p>
        </w:tc>
      </w:tr>
      <w:tr w:rsidR="00BF3012" w:rsidRPr="00BE21D5" w:rsidTr="00607E82">
        <w:tc>
          <w:tcPr>
            <w:tcW w:w="3060" w:type="dxa"/>
            <w:tcBorders>
              <w:top w:val="single" w:sz="12" w:space="0" w:color="auto"/>
              <w:bottom w:val="single" w:sz="12" w:space="0" w:color="auto"/>
            </w:tcBorders>
            <w:shd w:val="clear" w:color="auto" w:fill="auto"/>
          </w:tcPr>
          <w:p w:rsidR="00313033" w:rsidRPr="00650F04" w:rsidRDefault="00313033" w:rsidP="00BE21D5">
            <w:pPr>
              <w:autoSpaceDE w:val="0"/>
              <w:autoSpaceDN w:val="0"/>
              <w:adjustRightInd w:val="0"/>
              <w:rPr>
                <w:rFonts w:eastAsia="Calibri" w:cs="AdvGulliv-I"/>
                <w:i/>
                <w:sz w:val="6"/>
                <w:szCs w:val="6"/>
                <w:lang w:val="en-GB" w:eastAsia="en-GB"/>
              </w:rPr>
            </w:pPr>
          </w:p>
          <w:p w:rsidR="00BF3012" w:rsidRPr="00650F04" w:rsidRDefault="00BF3012" w:rsidP="00BE21D5">
            <w:pPr>
              <w:autoSpaceDE w:val="0"/>
              <w:autoSpaceDN w:val="0"/>
              <w:adjustRightInd w:val="0"/>
              <w:rPr>
                <w:rFonts w:eastAsia="Calibri" w:cs="AdvGulliv-I"/>
                <w:sz w:val="20"/>
                <w:szCs w:val="20"/>
                <w:lang w:val="en-GB" w:eastAsia="en-GB"/>
              </w:rPr>
            </w:pPr>
            <w:r w:rsidRPr="00650F04">
              <w:rPr>
                <w:rFonts w:eastAsia="Calibri" w:cs="AdvGulliv-I"/>
                <w:i/>
                <w:sz w:val="20"/>
                <w:szCs w:val="20"/>
                <w:lang w:val="en-GB" w:eastAsia="en-GB"/>
              </w:rPr>
              <w:t>Article history</w:t>
            </w:r>
            <w:r w:rsidRPr="00650F04">
              <w:rPr>
                <w:rFonts w:eastAsia="Calibri" w:cs="AdvGulliv-I"/>
                <w:sz w:val="20"/>
                <w:szCs w:val="20"/>
                <w:lang w:val="en-GB" w:eastAsia="en-GB"/>
              </w:rPr>
              <w:t>:</w:t>
            </w:r>
          </w:p>
          <w:p w:rsidR="00BF3012" w:rsidRPr="00650F04" w:rsidRDefault="00BF3012" w:rsidP="00BE21D5">
            <w:pPr>
              <w:autoSpaceDE w:val="0"/>
              <w:autoSpaceDN w:val="0"/>
              <w:adjustRightInd w:val="0"/>
              <w:rPr>
                <w:rFonts w:eastAsia="Calibri" w:cs="AdvGulliv-R"/>
                <w:sz w:val="20"/>
                <w:szCs w:val="20"/>
                <w:lang w:val="en-GB" w:eastAsia="en-GB"/>
              </w:rPr>
            </w:pPr>
            <w:r w:rsidRPr="00650F04">
              <w:rPr>
                <w:rFonts w:eastAsia="Calibri" w:cs="AdvGulliv-R"/>
                <w:sz w:val="20"/>
                <w:szCs w:val="20"/>
                <w:lang w:val="en-GB" w:eastAsia="en-GB"/>
              </w:rPr>
              <w:t xml:space="preserve">Received </w:t>
            </w:r>
            <w:r w:rsidR="006B43ED" w:rsidRPr="00650F04">
              <w:rPr>
                <w:rFonts w:eastAsia="Calibri" w:cs="AdvGulliv-R"/>
                <w:sz w:val="20"/>
                <w:szCs w:val="20"/>
                <w:lang w:val="en-GB" w:eastAsia="en-GB"/>
              </w:rPr>
              <w:t>04</w:t>
            </w:r>
            <w:r w:rsidRPr="00650F04">
              <w:rPr>
                <w:rFonts w:eastAsia="Calibri" w:cs="AdvGulliv-R"/>
                <w:sz w:val="20"/>
                <w:szCs w:val="20"/>
                <w:lang w:val="en-GB" w:eastAsia="en-GB"/>
              </w:rPr>
              <w:t xml:space="preserve"> </w:t>
            </w:r>
            <w:r w:rsidR="001B07C2" w:rsidRPr="00650F04">
              <w:rPr>
                <w:rFonts w:eastAsia="Calibri" w:cs="AdvGulliv-R"/>
                <w:sz w:val="20"/>
                <w:szCs w:val="20"/>
                <w:lang w:val="en-GB" w:eastAsia="en-GB"/>
              </w:rPr>
              <w:t>Octo</w:t>
            </w:r>
            <w:r w:rsidRPr="00650F04">
              <w:rPr>
                <w:rFonts w:eastAsia="Calibri" w:cs="AdvGulliv-R"/>
                <w:sz w:val="20"/>
                <w:szCs w:val="20"/>
                <w:lang w:val="en-GB" w:eastAsia="en-GB"/>
              </w:rPr>
              <w:t xml:space="preserve">ber </w:t>
            </w:r>
            <w:r w:rsidR="003C3D47" w:rsidRPr="00650F04">
              <w:rPr>
                <w:rFonts w:eastAsia="Calibri" w:cs="AdvGulliv-R"/>
                <w:sz w:val="20"/>
                <w:szCs w:val="20"/>
                <w:lang w:val="en-GB" w:eastAsia="en-GB"/>
              </w:rPr>
              <w:t>20</w:t>
            </w:r>
            <w:r w:rsidR="00650F04" w:rsidRPr="00650F04">
              <w:rPr>
                <w:rFonts w:eastAsia="Calibri" w:cs="AdvGulliv-R"/>
                <w:sz w:val="20"/>
                <w:szCs w:val="20"/>
                <w:lang w:val="en-GB" w:eastAsia="en-GB"/>
              </w:rPr>
              <w:t>1X</w:t>
            </w:r>
          </w:p>
          <w:p w:rsidR="00BF3012" w:rsidRPr="00650F04" w:rsidRDefault="001B07C2" w:rsidP="00BE21D5">
            <w:pPr>
              <w:autoSpaceDE w:val="0"/>
              <w:autoSpaceDN w:val="0"/>
              <w:adjustRightInd w:val="0"/>
              <w:rPr>
                <w:rFonts w:eastAsia="Calibri" w:cs="AdvGulliv-R"/>
                <w:sz w:val="20"/>
                <w:szCs w:val="20"/>
                <w:lang w:val="en-GB" w:eastAsia="en-GB"/>
              </w:rPr>
            </w:pPr>
            <w:r w:rsidRPr="00650F04">
              <w:rPr>
                <w:rFonts w:eastAsia="Calibri" w:cs="AdvGulliv-R"/>
                <w:sz w:val="20"/>
                <w:szCs w:val="20"/>
                <w:lang w:val="en-GB" w:eastAsia="en-GB"/>
              </w:rPr>
              <w:t>Revised   0</w:t>
            </w:r>
            <w:r w:rsidR="006B43ED" w:rsidRPr="00650F04">
              <w:rPr>
                <w:rFonts w:eastAsia="Calibri" w:cs="AdvGulliv-R"/>
                <w:sz w:val="20"/>
                <w:szCs w:val="20"/>
                <w:lang w:val="en-GB" w:eastAsia="en-GB"/>
              </w:rPr>
              <w:t>2</w:t>
            </w:r>
            <w:r w:rsidR="00BF3012" w:rsidRPr="00650F04">
              <w:rPr>
                <w:rFonts w:eastAsia="Calibri" w:cs="AdvGulliv-R"/>
                <w:sz w:val="20"/>
                <w:szCs w:val="20"/>
                <w:lang w:val="en-GB" w:eastAsia="en-GB"/>
              </w:rPr>
              <w:t xml:space="preserve"> </w:t>
            </w:r>
            <w:r w:rsidR="006B43ED" w:rsidRPr="00650F04">
              <w:rPr>
                <w:rFonts w:eastAsia="Calibri" w:cs="AdvGulliv-R"/>
                <w:sz w:val="20"/>
                <w:szCs w:val="20"/>
                <w:lang w:val="en-GB" w:eastAsia="en-GB"/>
              </w:rPr>
              <w:t>January</w:t>
            </w:r>
            <w:r w:rsidR="00BF3012" w:rsidRPr="00650F04">
              <w:rPr>
                <w:rFonts w:eastAsia="Calibri" w:cs="AdvGulliv-R"/>
                <w:sz w:val="20"/>
                <w:szCs w:val="20"/>
                <w:lang w:val="en-GB" w:eastAsia="en-GB"/>
              </w:rPr>
              <w:t xml:space="preserve"> </w:t>
            </w:r>
            <w:r w:rsidR="003C3D47" w:rsidRPr="00650F04">
              <w:rPr>
                <w:rFonts w:eastAsia="Calibri" w:cs="AdvGulliv-R"/>
                <w:sz w:val="20"/>
                <w:szCs w:val="20"/>
                <w:lang w:val="en-GB" w:eastAsia="en-GB"/>
              </w:rPr>
              <w:t>20</w:t>
            </w:r>
            <w:r w:rsidR="00650F04" w:rsidRPr="00650F04">
              <w:rPr>
                <w:rFonts w:eastAsia="Calibri" w:cs="AdvGulliv-R"/>
                <w:sz w:val="20"/>
                <w:szCs w:val="20"/>
                <w:lang w:val="en-GB" w:eastAsia="en-GB"/>
              </w:rPr>
              <w:t>1X</w:t>
            </w:r>
          </w:p>
          <w:p w:rsidR="00BF3012" w:rsidRPr="00650F04" w:rsidRDefault="006B43ED" w:rsidP="00BE21D5">
            <w:pPr>
              <w:autoSpaceDE w:val="0"/>
              <w:autoSpaceDN w:val="0"/>
              <w:adjustRightInd w:val="0"/>
              <w:rPr>
                <w:rFonts w:eastAsia="Calibri" w:cs="AdvGulliv-R"/>
                <w:sz w:val="20"/>
                <w:szCs w:val="20"/>
                <w:lang w:val="en-GB" w:eastAsia="en-GB"/>
              </w:rPr>
            </w:pPr>
            <w:r w:rsidRPr="00650F04">
              <w:rPr>
                <w:rFonts w:eastAsia="Calibri" w:cs="AdvGulliv-R"/>
                <w:sz w:val="20"/>
                <w:szCs w:val="20"/>
                <w:lang w:val="en-GB" w:eastAsia="en-GB"/>
              </w:rPr>
              <w:t>Accepted 09</w:t>
            </w:r>
            <w:r w:rsidR="00BF3012" w:rsidRPr="00650F04">
              <w:rPr>
                <w:rFonts w:eastAsia="Calibri" w:cs="AdvGulliv-R"/>
                <w:sz w:val="20"/>
                <w:szCs w:val="20"/>
                <w:lang w:val="en-GB" w:eastAsia="en-GB"/>
              </w:rPr>
              <w:t xml:space="preserve"> </w:t>
            </w:r>
            <w:r w:rsidRPr="00650F04">
              <w:rPr>
                <w:rFonts w:eastAsia="Calibri" w:cs="AdvGulliv-R"/>
                <w:sz w:val="20"/>
                <w:szCs w:val="20"/>
                <w:lang w:val="en-GB" w:eastAsia="en-GB"/>
              </w:rPr>
              <w:t>January</w:t>
            </w:r>
            <w:r w:rsidR="00BF3012" w:rsidRPr="00650F04">
              <w:rPr>
                <w:rFonts w:eastAsia="Calibri" w:cs="AdvGulliv-R"/>
                <w:sz w:val="20"/>
                <w:szCs w:val="20"/>
                <w:lang w:val="en-GB" w:eastAsia="en-GB"/>
              </w:rPr>
              <w:t xml:space="preserve"> </w:t>
            </w:r>
            <w:r w:rsidR="003C3D47" w:rsidRPr="00650F04">
              <w:rPr>
                <w:rFonts w:eastAsia="Calibri" w:cs="AdvGulliv-R"/>
                <w:sz w:val="20"/>
                <w:szCs w:val="20"/>
                <w:lang w:val="en-GB" w:eastAsia="en-GB"/>
              </w:rPr>
              <w:t>20</w:t>
            </w:r>
            <w:r w:rsidR="00650F04" w:rsidRPr="00650F04">
              <w:rPr>
                <w:rFonts w:eastAsia="Calibri" w:cs="AdvGulliv-R"/>
                <w:sz w:val="20"/>
                <w:szCs w:val="20"/>
                <w:lang w:val="en-GB" w:eastAsia="en-GB"/>
              </w:rPr>
              <w:t>1X</w:t>
            </w:r>
          </w:p>
          <w:p w:rsidR="00BF3012" w:rsidRPr="00650F04" w:rsidRDefault="0010688A" w:rsidP="00F241BD">
            <w:pPr>
              <w:spacing w:after="240"/>
              <w:rPr>
                <w:rFonts w:eastAsia="Calibri" w:cs="Calibri"/>
                <w:b/>
                <w:sz w:val="20"/>
                <w:szCs w:val="20"/>
              </w:rPr>
            </w:pPr>
            <w:r w:rsidRPr="00650F04">
              <w:rPr>
                <w:rFonts w:eastAsia="Calibri" w:cs="AdvGulliv-R"/>
                <w:sz w:val="20"/>
                <w:szCs w:val="20"/>
                <w:lang w:val="en-GB" w:eastAsia="en-GB"/>
              </w:rPr>
              <w:t xml:space="preserve">Available online </w:t>
            </w:r>
            <w:r w:rsidR="00F241BD">
              <w:rPr>
                <w:rFonts w:eastAsia="Calibri" w:cs="AdvGulliv-R"/>
                <w:sz w:val="20"/>
                <w:szCs w:val="20"/>
                <w:lang w:val="en-GB" w:eastAsia="en-GB"/>
              </w:rPr>
              <w:t>29</w:t>
            </w:r>
            <w:r w:rsidR="00BF3012" w:rsidRPr="00650F04">
              <w:rPr>
                <w:rFonts w:eastAsia="Calibri" w:cs="AdvGulliv-R"/>
                <w:sz w:val="20"/>
                <w:szCs w:val="20"/>
                <w:lang w:val="en-GB" w:eastAsia="en-GB"/>
              </w:rPr>
              <w:t xml:space="preserve"> </w:t>
            </w:r>
            <w:r w:rsidR="00F241BD">
              <w:rPr>
                <w:rFonts w:eastAsia="Calibri" w:cs="AdvGulliv-R"/>
                <w:sz w:val="20"/>
                <w:szCs w:val="20"/>
                <w:lang w:val="en-GB" w:eastAsia="en-GB"/>
              </w:rPr>
              <w:t>July</w:t>
            </w:r>
            <w:r w:rsidR="00BF3012" w:rsidRPr="00650F04">
              <w:rPr>
                <w:rFonts w:eastAsia="Calibri" w:cs="AdvGulliv-R"/>
                <w:sz w:val="20"/>
                <w:szCs w:val="20"/>
                <w:lang w:val="en-GB" w:eastAsia="en-GB"/>
              </w:rPr>
              <w:t xml:space="preserve"> 20</w:t>
            </w:r>
            <w:r w:rsidRPr="00650F04">
              <w:rPr>
                <w:rFonts w:eastAsia="Calibri" w:cs="AdvGulliv-R"/>
                <w:sz w:val="20"/>
                <w:szCs w:val="20"/>
                <w:lang w:val="en-GB" w:eastAsia="en-GB"/>
              </w:rPr>
              <w:t>1</w:t>
            </w:r>
            <w:r w:rsidR="00650F04" w:rsidRPr="00650F04">
              <w:rPr>
                <w:rFonts w:eastAsia="Calibri" w:cs="AdvGulliv-R"/>
                <w:sz w:val="20"/>
                <w:szCs w:val="20"/>
                <w:lang w:val="en-GB" w:eastAsia="en-GB"/>
              </w:rPr>
              <w:t>X</w:t>
            </w:r>
          </w:p>
        </w:tc>
        <w:tc>
          <w:tcPr>
            <w:tcW w:w="328" w:type="dxa"/>
            <w:shd w:val="clear" w:color="auto" w:fill="auto"/>
          </w:tcPr>
          <w:p w:rsidR="00BF3012" w:rsidRPr="00BE21D5" w:rsidRDefault="00BF3012" w:rsidP="00BE21D5">
            <w:pPr>
              <w:jc w:val="both"/>
              <w:rPr>
                <w:rFonts w:ascii="Calibri" w:eastAsia="Calibri" w:hAnsi="Calibri" w:cs="Calibri"/>
                <w:i/>
                <w:sz w:val="20"/>
                <w:szCs w:val="20"/>
              </w:rPr>
            </w:pPr>
          </w:p>
        </w:tc>
        <w:tc>
          <w:tcPr>
            <w:tcW w:w="6127" w:type="dxa"/>
            <w:vMerge w:val="restart"/>
            <w:tcBorders>
              <w:top w:val="single" w:sz="12" w:space="0" w:color="auto"/>
            </w:tcBorders>
            <w:shd w:val="clear" w:color="auto" w:fill="auto"/>
          </w:tcPr>
          <w:p w:rsidR="00313033" w:rsidRPr="00BE21D5" w:rsidRDefault="00313033" w:rsidP="00BE21D5">
            <w:pPr>
              <w:jc w:val="both"/>
              <w:rPr>
                <w:rFonts w:eastAsia="Calibri" w:cs="Calibri"/>
                <w:i/>
                <w:sz w:val="6"/>
                <w:szCs w:val="20"/>
              </w:rPr>
            </w:pPr>
          </w:p>
          <w:p w:rsidR="00741138" w:rsidRDefault="00741138" w:rsidP="00741138">
            <w:pPr>
              <w:jc w:val="both"/>
              <w:rPr>
                <w:rFonts w:eastAsia="Calibri" w:cs="Calibri"/>
                <w:i/>
                <w:sz w:val="20"/>
                <w:szCs w:val="20"/>
              </w:rPr>
            </w:pPr>
            <w:r w:rsidRPr="00741138">
              <w:rPr>
                <w:sz w:val="20"/>
                <w:szCs w:val="20"/>
              </w:rPr>
              <w:t xml:space="preserve">In the rapidly evolving landscape of modern cloud computing, </w:t>
            </w:r>
            <w:proofErr w:type="spellStart"/>
            <w:r w:rsidRPr="00741138">
              <w:rPr>
                <w:sz w:val="20"/>
                <w:szCs w:val="20"/>
              </w:rPr>
              <w:t>serverless</w:t>
            </w:r>
            <w:proofErr w:type="spellEnd"/>
            <w:r w:rsidRPr="00741138">
              <w:rPr>
                <w:sz w:val="20"/>
                <w:szCs w:val="20"/>
              </w:rPr>
              <w:t xml:space="preserve"> computing is transforming the cloud architecture by allowing developer to develop and run applications excluding handling physical infrastructure. Leading cloud platforms and Medium like AWS Lambda, Google Cloud Functions, and Azure Functions dynamically designate computing resources based on requirement, improving how applications scale efficiently and reliably. This research examined how </w:t>
            </w:r>
            <w:proofErr w:type="spellStart"/>
            <w:r w:rsidRPr="00741138">
              <w:rPr>
                <w:sz w:val="20"/>
                <w:szCs w:val="20"/>
              </w:rPr>
              <w:t>serverless</w:t>
            </w:r>
            <w:proofErr w:type="spellEnd"/>
            <w:r w:rsidRPr="00741138">
              <w:rPr>
                <w:sz w:val="20"/>
                <w:szCs w:val="20"/>
              </w:rPr>
              <w:t xml:space="preserve"> architecture impact the scalability, cost effectiveness and elasticity of web services, with particular emphasis on real-world deployment scenarios across diverse industries and use cases. It also sites key hurdles such as dependency on particular vendors, delay in responding, and data security concerns, all of which represent significant barriers to widespread adoption. The main focus areas are how these technologies are affecting Africa, specifically Nigeria, as more countries embrace digital technologies as part of national development purposes.</w:t>
            </w:r>
            <w:r>
              <w:t xml:space="preserve"> </w:t>
            </w:r>
            <w:r w:rsidRPr="00741138">
              <w:rPr>
                <w:sz w:val="20"/>
                <w:szCs w:val="20"/>
              </w:rPr>
              <w:t>To address these dimensions comprehensively, the study employs a structured and systematic review methodology. By evaluating an in-</w:t>
            </w:r>
            <w:proofErr w:type="spellStart"/>
            <w:r w:rsidRPr="00741138">
              <w:rPr>
                <w:sz w:val="20"/>
                <w:szCs w:val="20"/>
              </w:rPr>
              <w:t>dept</w:t>
            </w:r>
            <w:proofErr w:type="spellEnd"/>
            <w:r w:rsidRPr="00741138">
              <w:rPr>
                <w:sz w:val="20"/>
                <w:szCs w:val="20"/>
              </w:rPr>
              <w:t xml:space="preserve"> examination and recent findings drawn from peer-reviewed literature and industry case studies, key patterns and insights emerge. This document includes that </w:t>
            </w:r>
            <w:proofErr w:type="spellStart"/>
            <w:r w:rsidRPr="00741138">
              <w:rPr>
                <w:sz w:val="20"/>
                <w:szCs w:val="20"/>
              </w:rPr>
              <w:t>serverless</w:t>
            </w:r>
            <w:proofErr w:type="spellEnd"/>
            <w:r w:rsidRPr="00741138">
              <w:rPr>
                <w:sz w:val="20"/>
                <w:szCs w:val="20"/>
              </w:rPr>
              <w:t xml:space="preserve"> computing provides effective solution for scalable web services, both globally and </w:t>
            </w:r>
            <w:proofErr w:type="spellStart"/>
            <w:r w:rsidRPr="00741138">
              <w:rPr>
                <w:sz w:val="20"/>
                <w:szCs w:val="20"/>
              </w:rPr>
              <w:t>withing</w:t>
            </w:r>
            <w:proofErr w:type="spellEnd"/>
            <w:r w:rsidRPr="00741138">
              <w:rPr>
                <w:sz w:val="20"/>
                <w:szCs w:val="20"/>
              </w:rPr>
              <w:t xml:space="preserve"> emerging market, positioning it as a strategic enabler of digital transformation and broader economic growth in resource-constrained environments.</w:t>
            </w:r>
          </w:p>
          <w:p w:rsidR="00313033" w:rsidRPr="00BE21D5" w:rsidRDefault="00313033" w:rsidP="00741138">
            <w:pPr>
              <w:jc w:val="both"/>
              <w:rPr>
                <w:rFonts w:eastAsia="Calibri" w:cs="Calibri"/>
                <w:b/>
                <w:sz w:val="20"/>
                <w:szCs w:val="20"/>
              </w:rPr>
            </w:pPr>
            <w:r w:rsidRPr="00BE21D5">
              <w:rPr>
                <w:rFonts w:eastAsia="Calibri" w:cs="Calibri"/>
                <w:i/>
                <w:sz w:val="20"/>
                <w:szCs w:val="20"/>
              </w:rPr>
              <w:t xml:space="preserve">© </w:t>
            </w:r>
            <w:r w:rsidR="00F241BD">
              <w:rPr>
                <w:rFonts w:eastAsia="Calibri" w:cs="Calibri"/>
                <w:i/>
                <w:sz w:val="20"/>
                <w:szCs w:val="20"/>
              </w:rPr>
              <w:t>2026 DJCIS</w:t>
            </w:r>
            <w:r w:rsidRPr="00BE21D5">
              <w:rPr>
                <w:rFonts w:eastAsia="Calibri" w:cs="Calibri"/>
                <w:i/>
                <w:sz w:val="20"/>
                <w:szCs w:val="20"/>
              </w:rPr>
              <w:t>. All rights reserved.</w:t>
            </w:r>
          </w:p>
        </w:tc>
      </w:tr>
      <w:tr w:rsidR="00BF3012" w:rsidRPr="00BE21D5" w:rsidTr="00607E82">
        <w:tc>
          <w:tcPr>
            <w:tcW w:w="3060" w:type="dxa"/>
            <w:tcBorders>
              <w:top w:val="single" w:sz="12" w:space="0" w:color="auto"/>
              <w:bottom w:val="single" w:sz="12" w:space="0" w:color="auto"/>
            </w:tcBorders>
            <w:shd w:val="clear" w:color="auto" w:fill="auto"/>
          </w:tcPr>
          <w:p w:rsidR="00313033" w:rsidRPr="00BE21D5" w:rsidRDefault="00313033" w:rsidP="00BE21D5">
            <w:pPr>
              <w:autoSpaceDE w:val="0"/>
              <w:autoSpaceDN w:val="0"/>
              <w:adjustRightInd w:val="0"/>
              <w:rPr>
                <w:rFonts w:eastAsia="Calibri" w:cs="AdvGulliv-I"/>
                <w:i/>
                <w:sz w:val="6"/>
                <w:szCs w:val="6"/>
                <w:lang w:val="en-GB" w:eastAsia="en-GB"/>
              </w:rPr>
            </w:pPr>
          </w:p>
          <w:p w:rsidR="00BF3012" w:rsidRPr="00BE21D5" w:rsidRDefault="00BF3012" w:rsidP="0010688A">
            <w:pPr>
              <w:autoSpaceDE w:val="0"/>
              <w:autoSpaceDN w:val="0"/>
              <w:adjustRightInd w:val="0"/>
              <w:rPr>
                <w:rFonts w:eastAsia="Calibri" w:cs="AdvGulliv-I"/>
                <w:sz w:val="20"/>
                <w:szCs w:val="20"/>
                <w:lang w:val="en-GB" w:eastAsia="en-GB"/>
              </w:rPr>
            </w:pPr>
            <w:r w:rsidRPr="00BE21D5">
              <w:rPr>
                <w:rFonts w:eastAsia="Calibri" w:cs="AdvGulliv-I"/>
                <w:i/>
                <w:sz w:val="20"/>
                <w:szCs w:val="20"/>
                <w:lang w:val="en-GB" w:eastAsia="en-GB"/>
              </w:rPr>
              <w:t>Keywords</w:t>
            </w:r>
            <w:r w:rsidRPr="00BE21D5">
              <w:rPr>
                <w:rFonts w:eastAsia="Calibri" w:cs="AdvGulliv-I"/>
                <w:sz w:val="20"/>
                <w:szCs w:val="20"/>
                <w:lang w:val="en-GB" w:eastAsia="en-GB"/>
              </w:rPr>
              <w:t>:</w:t>
            </w:r>
          </w:p>
          <w:p w:rsidR="00742C8D" w:rsidRPr="00742C8D" w:rsidRDefault="00742C8D" w:rsidP="007D556C">
            <w:pPr>
              <w:rPr>
                <w:i/>
                <w:sz w:val="20"/>
                <w:szCs w:val="20"/>
              </w:rPr>
            </w:pPr>
            <w:proofErr w:type="spellStart"/>
            <w:r w:rsidRPr="00742C8D">
              <w:rPr>
                <w:i/>
                <w:sz w:val="20"/>
                <w:szCs w:val="20"/>
              </w:rPr>
              <w:t>Serverless</w:t>
            </w:r>
            <w:proofErr w:type="spellEnd"/>
            <w:r w:rsidRPr="00742C8D">
              <w:rPr>
                <w:i/>
                <w:sz w:val="20"/>
                <w:szCs w:val="20"/>
              </w:rPr>
              <w:t xml:space="preserve"> Computing, </w:t>
            </w:r>
          </w:p>
          <w:p w:rsidR="00742C8D" w:rsidRPr="00742C8D" w:rsidRDefault="00742C8D" w:rsidP="007D556C">
            <w:pPr>
              <w:rPr>
                <w:i/>
                <w:sz w:val="20"/>
                <w:szCs w:val="20"/>
              </w:rPr>
            </w:pPr>
            <w:r w:rsidRPr="00742C8D">
              <w:rPr>
                <w:i/>
                <w:sz w:val="20"/>
                <w:szCs w:val="20"/>
              </w:rPr>
              <w:t xml:space="preserve">Cloud Architecture, Scalability, </w:t>
            </w:r>
          </w:p>
          <w:p w:rsidR="00742C8D" w:rsidRPr="00742C8D" w:rsidRDefault="00742C8D" w:rsidP="007D556C">
            <w:pPr>
              <w:rPr>
                <w:i/>
                <w:sz w:val="20"/>
                <w:szCs w:val="20"/>
              </w:rPr>
            </w:pPr>
            <w:r w:rsidRPr="00742C8D">
              <w:rPr>
                <w:i/>
                <w:sz w:val="20"/>
                <w:szCs w:val="20"/>
              </w:rPr>
              <w:t>Function-as-a-Service (</w:t>
            </w:r>
            <w:proofErr w:type="spellStart"/>
            <w:r w:rsidRPr="00742C8D">
              <w:rPr>
                <w:i/>
                <w:sz w:val="20"/>
                <w:szCs w:val="20"/>
              </w:rPr>
              <w:t>FaaS</w:t>
            </w:r>
            <w:proofErr w:type="spellEnd"/>
            <w:r w:rsidRPr="00742C8D">
              <w:rPr>
                <w:i/>
                <w:sz w:val="20"/>
                <w:szCs w:val="20"/>
              </w:rPr>
              <w:t xml:space="preserve">), </w:t>
            </w:r>
          </w:p>
          <w:p w:rsidR="00742C8D" w:rsidRPr="00742C8D" w:rsidRDefault="00742C8D" w:rsidP="007D556C">
            <w:pPr>
              <w:rPr>
                <w:i/>
                <w:sz w:val="20"/>
                <w:szCs w:val="20"/>
              </w:rPr>
            </w:pPr>
            <w:r w:rsidRPr="00742C8D">
              <w:rPr>
                <w:i/>
                <w:sz w:val="20"/>
                <w:szCs w:val="20"/>
              </w:rPr>
              <w:t xml:space="preserve">Vendor Lock-in, </w:t>
            </w:r>
          </w:p>
          <w:p w:rsidR="00BF3012" w:rsidRPr="00BE21D5" w:rsidRDefault="00742C8D" w:rsidP="007D556C">
            <w:pPr>
              <w:rPr>
                <w:rFonts w:eastAsia="Calibri" w:cs="Calibri"/>
                <w:b/>
                <w:sz w:val="20"/>
                <w:szCs w:val="20"/>
              </w:rPr>
            </w:pPr>
            <w:r w:rsidRPr="00742C8D">
              <w:rPr>
                <w:i/>
                <w:sz w:val="20"/>
                <w:szCs w:val="20"/>
              </w:rPr>
              <w:t>Digital Transformation.</w:t>
            </w:r>
          </w:p>
        </w:tc>
        <w:tc>
          <w:tcPr>
            <w:tcW w:w="328" w:type="dxa"/>
            <w:tcBorders>
              <w:bottom w:val="single" w:sz="12" w:space="0" w:color="auto"/>
            </w:tcBorders>
            <w:shd w:val="clear" w:color="auto" w:fill="auto"/>
          </w:tcPr>
          <w:p w:rsidR="00BF3012" w:rsidRPr="00BE21D5" w:rsidRDefault="00BF3012" w:rsidP="00BE21D5">
            <w:pPr>
              <w:jc w:val="both"/>
              <w:rPr>
                <w:rFonts w:ascii="Calibri" w:eastAsia="Calibri" w:hAnsi="Calibri" w:cs="Calibri"/>
                <w:b/>
                <w:sz w:val="20"/>
                <w:szCs w:val="20"/>
              </w:rPr>
            </w:pPr>
          </w:p>
        </w:tc>
        <w:tc>
          <w:tcPr>
            <w:tcW w:w="6127" w:type="dxa"/>
            <w:vMerge/>
            <w:tcBorders>
              <w:bottom w:val="single" w:sz="12" w:space="0" w:color="auto"/>
            </w:tcBorders>
            <w:shd w:val="clear" w:color="auto" w:fill="auto"/>
          </w:tcPr>
          <w:p w:rsidR="00BF3012" w:rsidRPr="00BE21D5" w:rsidRDefault="00BF3012" w:rsidP="00BE21D5">
            <w:pPr>
              <w:jc w:val="both"/>
              <w:rPr>
                <w:rFonts w:eastAsia="Calibri" w:cs="Calibri"/>
                <w:b/>
                <w:sz w:val="20"/>
                <w:szCs w:val="20"/>
              </w:rPr>
            </w:pPr>
          </w:p>
        </w:tc>
      </w:tr>
    </w:tbl>
    <w:p w:rsidR="00BF3012" w:rsidRPr="00BF3012" w:rsidRDefault="00BF3012" w:rsidP="00FE4833">
      <w:pPr>
        <w:jc w:val="both"/>
        <w:rPr>
          <w:rFonts w:cs="Calibri"/>
          <w:b/>
          <w:sz w:val="20"/>
          <w:szCs w:val="20"/>
        </w:rPr>
      </w:pPr>
    </w:p>
    <w:p w:rsidR="00FE4833" w:rsidRPr="00BF3012" w:rsidRDefault="00FE4833" w:rsidP="00FE4833">
      <w:pPr>
        <w:jc w:val="both"/>
        <w:rPr>
          <w:rFonts w:cs="Calibri"/>
          <w:b/>
          <w:sz w:val="20"/>
          <w:szCs w:val="20"/>
        </w:rPr>
        <w:sectPr w:rsidR="00FE4833" w:rsidRPr="00BF3012" w:rsidSect="00741138">
          <w:headerReference w:type="default" r:id="rId10"/>
          <w:footerReference w:type="default" r:id="rId11"/>
          <w:pgSz w:w="11909" w:h="16834" w:code="9"/>
          <w:pgMar w:top="864" w:right="1152" w:bottom="864" w:left="1260" w:header="540" w:footer="364" w:gutter="0"/>
          <w:cols w:space="720"/>
          <w:docGrid w:linePitch="360"/>
        </w:sectPr>
      </w:pPr>
    </w:p>
    <w:p w:rsidR="00FE4833" w:rsidRPr="00BF3012" w:rsidRDefault="00FE4833" w:rsidP="00FE4833">
      <w:pPr>
        <w:jc w:val="both"/>
        <w:rPr>
          <w:rFonts w:cs="Calibri"/>
          <w:b/>
          <w:sz w:val="20"/>
          <w:szCs w:val="20"/>
        </w:rPr>
      </w:pPr>
    </w:p>
    <w:p w:rsidR="0084588E" w:rsidRPr="00BF3012" w:rsidRDefault="0084588E" w:rsidP="00FE4833">
      <w:pPr>
        <w:jc w:val="both"/>
        <w:rPr>
          <w:rFonts w:cs="Calibri"/>
          <w:b/>
          <w:szCs w:val="20"/>
        </w:rPr>
        <w:sectPr w:rsidR="0084588E" w:rsidRPr="00BF3012" w:rsidSect="00741138">
          <w:type w:val="continuous"/>
          <w:pgSz w:w="11909" w:h="16834" w:code="9"/>
          <w:pgMar w:top="864" w:right="839" w:bottom="864" w:left="1260" w:header="720" w:footer="364" w:gutter="0"/>
          <w:cols w:num="2" w:space="333"/>
          <w:docGrid w:linePitch="360"/>
        </w:sectPr>
      </w:pPr>
    </w:p>
    <w:p w:rsidR="00F241BD" w:rsidRPr="00F241BD" w:rsidRDefault="00F241BD" w:rsidP="00F241BD">
      <w:pPr>
        <w:spacing w:line="480" w:lineRule="auto"/>
        <w:jc w:val="both"/>
        <w:rPr>
          <w:b/>
          <w:szCs w:val="22"/>
        </w:rPr>
      </w:pPr>
      <w:r w:rsidRPr="00F241BD">
        <w:rPr>
          <w:b/>
          <w:szCs w:val="22"/>
        </w:rPr>
        <w:lastRenderedPageBreak/>
        <w:t>1. Introduction</w:t>
      </w:r>
    </w:p>
    <w:p w:rsidR="00F241BD" w:rsidRPr="00F241BD" w:rsidRDefault="00F241BD" w:rsidP="00F241BD">
      <w:pPr>
        <w:spacing w:line="480" w:lineRule="auto"/>
        <w:jc w:val="both"/>
        <w:rPr>
          <w:szCs w:val="22"/>
        </w:rPr>
      </w:pPr>
      <w:r w:rsidRPr="00F241BD">
        <w:rPr>
          <w:szCs w:val="22"/>
        </w:rPr>
        <w:t>Energy-intensive industries seek compact heat exchangers to reduce pumping power and footprint. Recent work explored lattice-based cores for improv</w:t>
      </w:r>
      <w:r w:rsidR="00742C8D">
        <w:rPr>
          <w:szCs w:val="22"/>
        </w:rPr>
        <w:t xml:space="preserve">ed thermo-hydraulic performance, </w:t>
      </w:r>
      <w:proofErr w:type="spellStart"/>
      <w:r w:rsidR="00742C8D">
        <w:rPr>
          <w:szCs w:val="22"/>
        </w:rPr>
        <w:t>Okitikpi</w:t>
      </w:r>
      <w:proofErr w:type="spellEnd"/>
      <w:r w:rsidR="00742C8D">
        <w:rPr>
          <w:szCs w:val="22"/>
        </w:rPr>
        <w:t xml:space="preserve"> et al (2025); </w:t>
      </w:r>
      <w:proofErr w:type="spellStart"/>
      <w:r w:rsidR="00742C8D">
        <w:rPr>
          <w:szCs w:val="22"/>
        </w:rPr>
        <w:t>Obire</w:t>
      </w:r>
      <w:proofErr w:type="spellEnd"/>
      <w:r w:rsidR="00742C8D">
        <w:rPr>
          <w:szCs w:val="22"/>
        </w:rPr>
        <w:t xml:space="preserve"> et al (2026).</w:t>
      </w:r>
      <w:r w:rsidRPr="00F241BD">
        <w:rPr>
          <w:szCs w:val="22"/>
        </w:rPr>
        <w:t xml:space="preserve"> However, results at mid-range Reynolds numbers and under additive constraints remain limited [3]. This paper addresses that gap. We aim to quantify performance improvements of a representative TPMS core against finned baselines. Our contributions are: (i) a reproducible CFD–experiment methodology; (ii) validated correlations for j and f in the targeted range; (iii) analysis of trade-offs impacting system-level energy savings. Section 2 details methods; Section 3 reports results; Section 4 discusses implications; Section 5 concludes.</w:t>
      </w:r>
    </w:p>
    <w:p w:rsidR="00F241BD" w:rsidRPr="00F241BD" w:rsidRDefault="00F241BD" w:rsidP="00F241BD">
      <w:pPr>
        <w:spacing w:line="480" w:lineRule="auto"/>
        <w:rPr>
          <w:b/>
          <w:szCs w:val="22"/>
        </w:rPr>
      </w:pPr>
      <w:r w:rsidRPr="00F241BD">
        <w:rPr>
          <w:b/>
          <w:szCs w:val="22"/>
        </w:rPr>
        <w:t>2. Methods</w:t>
      </w:r>
    </w:p>
    <w:p w:rsidR="00F241BD" w:rsidRPr="00F241BD" w:rsidRDefault="00F241BD" w:rsidP="00F241BD">
      <w:pPr>
        <w:spacing w:line="480" w:lineRule="auto"/>
        <w:rPr>
          <w:b/>
          <w:szCs w:val="22"/>
        </w:rPr>
      </w:pPr>
      <w:r w:rsidRPr="00F241BD">
        <w:rPr>
          <w:b/>
          <w:szCs w:val="22"/>
        </w:rPr>
        <w:t>2.1 Experimental setup</w:t>
      </w:r>
    </w:p>
    <w:p w:rsidR="00F241BD" w:rsidRPr="00F241BD" w:rsidRDefault="00F241BD" w:rsidP="00F241BD">
      <w:pPr>
        <w:spacing w:line="480" w:lineRule="auto"/>
        <w:rPr>
          <w:szCs w:val="22"/>
        </w:rPr>
      </w:pPr>
      <w:r w:rsidRPr="00F241BD">
        <w:rPr>
          <w:szCs w:val="22"/>
        </w:rPr>
        <w:t>We built a closed water loop with calibrated flow meters (±1%), differential pressure sensors (±0.5%), and cartridge heaters. Samples were aluminum SLM with post-processed surfaces. Reynolds number spanned 500–5000.</w:t>
      </w:r>
    </w:p>
    <w:p w:rsidR="00F241BD" w:rsidRPr="00F241BD" w:rsidRDefault="00F241BD" w:rsidP="00F241BD">
      <w:pPr>
        <w:spacing w:line="480" w:lineRule="auto"/>
        <w:rPr>
          <w:b/>
          <w:szCs w:val="22"/>
        </w:rPr>
      </w:pPr>
      <w:r w:rsidRPr="00F241BD">
        <w:rPr>
          <w:b/>
          <w:szCs w:val="22"/>
        </w:rPr>
        <w:t>2.2 Numerical model</w:t>
      </w:r>
    </w:p>
    <w:p w:rsidR="00F241BD" w:rsidRPr="00F241BD" w:rsidRDefault="00F241BD" w:rsidP="00F241BD">
      <w:pPr>
        <w:spacing w:line="480" w:lineRule="auto"/>
        <w:jc w:val="both"/>
        <w:rPr>
          <w:szCs w:val="22"/>
        </w:rPr>
      </w:pPr>
      <w:r w:rsidRPr="00F241BD">
        <w:rPr>
          <w:szCs w:val="22"/>
        </w:rPr>
        <w:t>We solved steady RANS with SST k–ω on polyhedral meshes (y+≈1 near walls). Boundary conditions matched experimental flow rates and inlet temperatures. Convergence criteria were residuals &lt;1e−5 and stable integral outputs over 1000 iterations.</w:t>
      </w:r>
    </w:p>
    <w:p w:rsidR="00F241BD" w:rsidRPr="00F241BD" w:rsidRDefault="00F241BD" w:rsidP="00F241BD">
      <w:pPr>
        <w:spacing w:line="480" w:lineRule="auto"/>
        <w:jc w:val="both"/>
        <w:rPr>
          <w:b/>
          <w:szCs w:val="22"/>
        </w:rPr>
      </w:pPr>
      <w:r w:rsidRPr="00F241BD">
        <w:rPr>
          <w:b/>
          <w:szCs w:val="22"/>
        </w:rPr>
        <w:t>2.3 Data reduction and metrics</w:t>
      </w:r>
    </w:p>
    <w:p w:rsidR="00F241BD" w:rsidRPr="00F241BD" w:rsidRDefault="00F241BD" w:rsidP="00F241BD">
      <w:pPr>
        <w:spacing w:line="480" w:lineRule="auto"/>
        <w:jc w:val="both"/>
        <w:rPr>
          <w:szCs w:val="22"/>
        </w:rPr>
      </w:pPr>
      <w:r w:rsidRPr="00F241BD">
        <w:rPr>
          <w:szCs w:val="22"/>
        </w:rPr>
        <w:t>Colburn j and friction factor f were computed using standard definitions; uncertainties were propagated via first-order methods. Comparisons used area-normalized performance and equal pumping-power lines.</w:t>
      </w:r>
    </w:p>
    <w:p w:rsidR="00F241BD" w:rsidRPr="00F241BD" w:rsidRDefault="00F241BD" w:rsidP="00F241BD">
      <w:pPr>
        <w:spacing w:line="480" w:lineRule="auto"/>
        <w:jc w:val="both"/>
        <w:rPr>
          <w:szCs w:val="22"/>
        </w:rPr>
      </w:pPr>
    </w:p>
    <w:p w:rsidR="00F241BD" w:rsidRPr="00F241BD" w:rsidRDefault="00F241BD" w:rsidP="00F241BD">
      <w:pPr>
        <w:spacing w:line="480" w:lineRule="auto"/>
        <w:jc w:val="both"/>
        <w:rPr>
          <w:b/>
          <w:szCs w:val="22"/>
        </w:rPr>
      </w:pPr>
      <w:r w:rsidRPr="00F241BD">
        <w:rPr>
          <w:b/>
          <w:szCs w:val="22"/>
        </w:rPr>
        <w:t>3. Results</w:t>
      </w:r>
    </w:p>
    <w:p w:rsidR="00F241BD" w:rsidRPr="00F241BD" w:rsidRDefault="00F241BD" w:rsidP="00F241BD">
      <w:pPr>
        <w:spacing w:line="480" w:lineRule="auto"/>
        <w:jc w:val="both"/>
        <w:rPr>
          <w:szCs w:val="22"/>
        </w:rPr>
      </w:pPr>
      <w:r w:rsidRPr="00F241BD">
        <w:rPr>
          <w:szCs w:val="22"/>
        </w:rPr>
        <w:t>Figure 1 shows the pressure drop versus flow rate. Table 1 summarizes j and f across the tested Re range. The TPMS core achieved j improvements of 12–15% at comparable f relative to finned baselines, consistent with numerical predictions.</w:t>
      </w:r>
    </w:p>
    <w:p w:rsidR="00F241BD" w:rsidRPr="00F241BD" w:rsidRDefault="00F241BD" w:rsidP="00F241BD">
      <w:pPr>
        <w:spacing w:line="480" w:lineRule="auto"/>
        <w:jc w:val="both"/>
        <w:rPr>
          <w:i/>
          <w:sz w:val="22"/>
          <w:szCs w:val="22"/>
        </w:rPr>
      </w:pPr>
      <w:proofErr w:type="gramStart"/>
      <w:r w:rsidRPr="00F241BD">
        <w:rPr>
          <w:i/>
          <w:sz w:val="22"/>
          <w:szCs w:val="22"/>
        </w:rPr>
        <w:t>Table 1.</w:t>
      </w:r>
      <w:proofErr w:type="gramEnd"/>
      <w:r w:rsidRPr="00F241BD">
        <w:rPr>
          <w:i/>
          <w:sz w:val="22"/>
          <w:szCs w:val="22"/>
        </w:rPr>
        <w:t xml:space="preserve"> Summary of Colburn j and friction factor f at Re=500–5000 for both cores.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7C75E8" w:rsidRPr="00F241BD" w:rsidTr="007C75E8">
        <w:tc>
          <w:tcPr>
            <w:tcW w:w="3192" w:type="dxa"/>
            <w:shd w:val="clear" w:color="auto" w:fill="auto"/>
          </w:tcPr>
          <w:p w:rsidR="00F241BD" w:rsidRPr="00F241BD" w:rsidRDefault="00F241BD" w:rsidP="007C75E8">
            <w:pPr>
              <w:spacing w:line="480" w:lineRule="auto"/>
              <w:jc w:val="both"/>
              <w:rPr>
                <w:rFonts w:ascii="Cambria" w:eastAsia="MS Mincho" w:hAnsi="Cambria"/>
                <w:iCs/>
                <w:sz w:val="22"/>
                <w:szCs w:val="22"/>
              </w:rPr>
            </w:pPr>
            <w:r w:rsidRPr="00F241BD">
              <w:rPr>
                <w:rFonts w:ascii="Cambria" w:eastAsia="MS Mincho" w:hAnsi="Cambria"/>
                <w:iCs/>
                <w:sz w:val="22"/>
                <w:szCs w:val="22"/>
              </w:rPr>
              <w:t>A</w:t>
            </w:r>
          </w:p>
        </w:tc>
        <w:tc>
          <w:tcPr>
            <w:tcW w:w="3192" w:type="dxa"/>
            <w:shd w:val="clear" w:color="auto" w:fill="auto"/>
          </w:tcPr>
          <w:p w:rsidR="00F241BD" w:rsidRPr="00F241BD" w:rsidRDefault="00F241BD" w:rsidP="007C75E8">
            <w:pPr>
              <w:spacing w:line="480" w:lineRule="auto"/>
              <w:jc w:val="both"/>
              <w:rPr>
                <w:rFonts w:ascii="Cambria" w:eastAsia="MS Mincho" w:hAnsi="Cambria"/>
                <w:iCs/>
                <w:sz w:val="22"/>
                <w:szCs w:val="22"/>
              </w:rPr>
            </w:pPr>
            <w:r w:rsidRPr="00F241BD">
              <w:rPr>
                <w:rFonts w:ascii="Cambria" w:eastAsia="MS Mincho" w:hAnsi="Cambria"/>
                <w:iCs/>
                <w:sz w:val="22"/>
                <w:szCs w:val="22"/>
              </w:rPr>
              <w:t>b</w:t>
            </w:r>
          </w:p>
        </w:tc>
        <w:tc>
          <w:tcPr>
            <w:tcW w:w="3192" w:type="dxa"/>
            <w:shd w:val="clear" w:color="auto" w:fill="auto"/>
          </w:tcPr>
          <w:p w:rsidR="00F241BD" w:rsidRPr="00F241BD" w:rsidRDefault="00F241BD" w:rsidP="007C75E8">
            <w:pPr>
              <w:spacing w:line="480" w:lineRule="auto"/>
              <w:jc w:val="both"/>
              <w:rPr>
                <w:rFonts w:ascii="Cambria" w:eastAsia="MS Mincho" w:hAnsi="Cambria"/>
                <w:iCs/>
                <w:sz w:val="22"/>
                <w:szCs w:val="22"/>
              </w:rPr>
            </w:pPr>
            <w:r w:rsidRPr="00F241BD">
              <w:rPr>
                <w:rFonts w:ascii="Cambria" w:eastAsia="MS Mincho" w:hAnsi="Cambria"/>
                <w:iCs/>
                <w:sz w:val="22"/>
                <w:szCs w:val="22"/>
              </w:rPr>
              <w:t>b</w:t>
            </w:r>
          </w:p>
        </w:tc>
      </w:tr>
      <w:tr w:rsidR="007C75E8" w:rsidRPr="00F241BD" w:rsidTr="007C75E8">
        <w:tc>
          <w:tcPr>
            <w:tcW w:w="3192" w:type="dxa"/>
            <w:shd w:val="clear" w:color="auto" w:fill="auto"/>
          </w:tcPr>
          <w:p w:rsidR="00F241BD" w:rsidRPr="00F241BD" w:rsidRDefault="00F241BD" w:rsidP="007C75E8">
            <w:pPr>
              <w:spacing w:line="480" w:lineRule="auto"/>
              <w:jc w:val="both"/>
              <w:rPr>
                <w:rFonts w:ascii="Cambria" w:eastAsia="MS Mincho" w:hAnsi="Cambria"/>
                <w:iCs/>
                <w:sz w:val="22"/>
                <w:szCs w:val="22"/>
              </w:rPr>
            </w:pPr>
          </w:p>
        </w:tc>
        <w:tc>
          <w:tcPr>
            <w:tcW w:w="3192" w:type="dxa"/>
            <w:shd w:val="clear" w:color="auto" w:fill="auto"/>
          </w:tcPr>
          <w:p w:rsidR="00F241BD" w:rsidRPr="00F241BD" w:rsidRDefault="00F241BD" w:rsidP="007C75E8">
            <w:pPr>
              <w:spacing w:line="480" w:lineRule="auto"/>
              <w:jc w:val="both"/>
              <w:rPr>
                <w:rFonts w:ascii="Cambria" w:eastAsia="MS Mincho" w:hAnsi="Cambria"/>
                <w:iCs/>
                <w:sz w:val="22"/>
                <w:szCs w:val="22"/>
              </w:rPr>
            </w:pPr>
          </w:p>
        </w:tc>
        <w:tc>
          <w:tcPr>
            <w:tcW w:w="3192" w:type="dxa"/>
            <w:shd w:val="clear" w:color="auto" w:fill="auto"/>
          </w:tcPr>
          <w:p w:rsidR="00F241BD" w:rsidRPr="00F241BD" w:rsidRDefault="00F241BD" w:rsidP="007C75E8">
            <w:pPr>
              <w:spacing w:line="480" w:lineRule="auto"/>
              <w:jc w:val="both"/>
              <w:rPr>
                <w:rFonts w:ascii="Cambria" w:eastAsia="MS Mincho" w:hAnsi="Cambria"/>
                <w:iCs/>
                <w:sz w:val="22"/>
                <w:szCs w:val="22"/>
              </w:rPr>
            </w:pPr>
          </w:p>
        </w:tc>
      </w:tr>
    </w:tbl>
    <w:p w:rsidR="00F241BD" w:rsidRPr="00F241BD" w:rsidRDefault="00F241BD" w:rsidP="00F241BD">
      <w:pPr>
        <w:spacing w:line="480" w:lineRule="auto"/>
        <w:jc w:val="both"/>
        <w:rPr>
          <w:b/>
          <w:szCs w:val="22"/>
        </w:rPr>
      </w:pPr>
    </w:p>
    <w:p w:rsidR="00F241BD" w:rsidRPr="00F241BD" w:rsidRDefault="00F241BD" w:rsidP="00F241BD">
      <w:pPr>
        <w:spacing w:line="480" w:lineRule="auto"/>
        <w:jc w:val="center"/>
        <w:rPr>
          <w:b/>
          <w:szCs w:val="22"/>
          <w:lang w:val="en-CA"/>
        </w:rPr>
      </w:pPr>
      <w:r w:rsidRPr="00F241BD">
        <w:rPr>
          <w:b/>
          <w:noProof/>
          <w:szCs w:val="22"/>
        </w:rPr>
        <w:pict>
          <v:shape id="Picture 2" o:spid="_x0000_i1026" type="#_x0000_t75" alt="Description: A graph of a pressure drop&#10;&#10;AI-generated content may be incorrect." style="width:381.75pt;height:254.25pt;visibility:visible;mso-wrap-style:square">
            <v:imagedata r:id="rId12" o:title="A graph of a pressure drop&#10;&#10;AI-generated content may be incorrect"/>
          </v:shape>
        </w:pict>
      </w:r>
    </w:p>
    <w:p w:rsidR="00F241BD" w:rsidRPr="00F241BD" w:rsidRDefault="00F241BD" w:rsidP="00F241BD">
      <w:pPr>
        <w:jc w:val="both"/>
        <w:rPr>
          <w:i/>
          <w:iCs/>
          <w:szCs w:val="22"/>
        </w:rPr>
      </w:pPr>
      <w:proofErr w:type="gramStart"/>
      <w:r w:rsidRPr="00F241BD">
        <w:rPr>
          <w:i/>
          <w:iCs/>
          <w:szCs w:val="22"/>
        </w:rPr>
        <w:t>Figure 1.</w:t>
      </w:r>
      <w:proofErr w:type="gramEnd"/>
      <w:r w:rsidRPr="00F241BD">
        <w:rPr>
          <w:i/>
          <w:iCs/>
          <w:szCs w:val="22"/>
        </w:rPr>
        <w:t xml:space="preserve"> Pressure drop (</w:t>
      </w:r>
      <w:proofErr w:type="spellStart"/>
      <w:proofErr w:type="gramStart"/>
      <w:r w:rsidRPr="00F241BD">
        <w:rPr>
          <w:i/>
          <w:iCs/>
          <w:szCs w:val="22"/>
        </w:rPr>
        <w:t>Δp</w:t>
      </w:r>
      <w:proofErr w:type="spellEnd"/>
      <w:proofErr w:type="gramEnd"/>
      <w:r w:rsidRPr="00F241BD">
        <w:rPr>
          <w:i/>
          <w:iCs/>
          <w:szCs w:val="22"/>
        </w:rPr>
        <w:t>) as a function of mass flow rate for a baseline finned core and a TPMS core. Error bars may be added where applicable.</w:t>
      </w:r>
    </w:p>
    <w:p w:rsidR="00F241BD" w:rsidRPr="00F241BD" w:rsidRDefault="00F241BD" w:rsidP="00F241BD">
      <w:pPr>
        <w:jc w:val="both"/>
        <w:rPr>
          <w:b/>
          <w:szCs w:val="22"/>
        </w:rPr>
      </w:pPr>
    </w:p>
    <w:p w:rsidR="00F241BD" w:rsidRPr="00F241BD" w:rsidRDefault="00F241BD" w:rsidP="00F241BD">
      <w:pPr>
        <w:jc w:val="both"/>
        <w:rPr>
          <w:b/>
          <w:szCs w:val="22"/>
        </w:rPr>
      </w:pPr>
    </w:p>
    <w:p w:rsidR="00F241BD" w:rsidRPr="00F241BD" w:rsidRDefault="00F241BD" w:rsidP="00F241BD">
      <w:pPr>
        <w:spacing w:line="480" w:lineRule="auto"/>
        <w:jc w:val="both"/>
        <w:rPr>
          <w:b/>
          <w:szCs w:val="22"/>
        </w:rPr>
      </w:pPr>
      <w:r w:rsidRPr="00F241BD">
        <w:rPr>
          <w:b/>
          <w:szCs w:val="22"/>
        </w:rPr>
        <w:t>4. Discussion</w:t>
      </w:r>
    </w:p>
    <w:p w:rsidR="00F241BD" w:rsidRPr="00F241BD" w:rsidRDefault="00F241BD" w:rsidP="00F241BD">
      <w:pPr>
        <w:spacing w:line="480" w:lineRule="auto"/>
        <w:jc w:val="both"/>
        <w:rPr>
          <w:szCs w:val="22"/>
        </w:rPr>
      </w:pPr>
      <w:r w:rsidRPr="00F241BD">
        <w:rPr>
          <w:szCs w:val="22"/>
        </w:rPr>
        <w:t xml:space="preserve">The observed j gains at similar f suggest enhanced convective transport without prohibitive hydraulic penalties. At system scale, this can reduce pumping power by 6–9% for equivalent </w:t>
      </w:r>
      <w:r w:rsidRPr="00F241BD">
        <w:rPr>
          <w:szCs w:val="22"/>
        </w:rPr>
        <w:lastRenderedPageBreak/>
        <w:t>duty cycles. Limitations include material and surface roughness effects specific to SLM aluminum and the tested Re range.</w:t>
      </w:r>
    </w:p>
    <w:p w:rsidR="00F241BD" w:rsidRPr="00F241BD" w:rsidRDefault="00F241BD" w:rsidP="00F241BD">
      <w:pPr>
        <w:spacing w:line="480" w:lineRule="auto"/>
        <w:jc w:val="both"/>
        <w:rPr>
          <w:b/>
          <w:szCs w:val="22"/>
        </w:rPr>
      </w:pPr>
      <w:r w:rsidRPr="00F241BD">
        <w:rPr>
          <w:b/>
          <w:szCs w:val="22"/>
        </w:rPr>
        <w:t>5. Conclusion</w:t>
      </w:r>
    </w:p>
    <w:p w:rsidR="00F241BD" w:rsidRPr="00F241BD" w:rsidRDefault="00F241BD" w:rsidP="00F241BD">
      <w:pPr>
        <w:spacing w:line="480" w:lineRule="auto"/>
        <w:jc w:val="both"/>
        <w:rPr>
          <w:szCs w:val="22"/>
        </w:rPr>
      </w:pPr>
      <w:r w:rsidRPr="00F241BD">
        <w:rPr>
          <w:szCs w:val="22"/>
        </w:rPr>
        <w:t>We presented a complete NJSTR-formatted dummy paper covering structure, policies, and quantitative reporting. The hypothetical study indicates that TPMS cores can deliver notable thermo-hydraulic improvements in compact exchangers. Future work includes broader materials and transient regimes.</w:t>
      </w:r>
    </w:p>
    <w:p w:rsidR="00F241BD" w:rsidRPr="00F241BD" w:rsidRDefault="00F241BD" w:rsidP="00F241BD">
      <w:pPr>
        <w:spacing w:line="480" w:lineRule="auto"/>
        <w:jc w:val="both"/>
        <w:rPr>
          <w:b/>
          <w:szCs w:val="22"/>
        </w:rPr>
      </w:pPr>
      <w:r w:rsidRPr="00F241BD">
        <w:rPr>
          <w:b/>
          <w:szCs w:val="22"/>
        </w:rPr>
        <w:t>Acknowledgments</w:t>
      </w:r>
    </w:p>
    <w:p w:rsidR="00F241BD" w:rsidRPr="00F241BD" w:rsidRDefault="00F241BD" w:rsidP="00F241BD">
      <w:pPr>
        <w:spacing w:line="480" w:lineRule="auto"/>
        <w:jc w:val="both"/>
        <w:rPr>
          <w:szCs w:val="22"/>
        </w:rPr>
      </w:pPr>
      <w:r w:rsidRPr="00F241BD">
        <w:rPr>
          <w:szCs w:val="22"/>
        </w:rPr>
        <w:t>The authors thank Example Funding Agency (Grant ABC-1234) and the Example Institute for laboratory support.</w:t>
      </w:r>
    </w:p>
    <w:p w:rsidR="00F241BD" w:rsidRPr="00F241BD" w:rsidRDefault="00F241BD" w:rsidP="00F241BD">
      <w:pPr>
        <w:spacing w:line="480" w:lineRule="auto"/>
        <w:rPr>
          <w:b/>
          <w:szCs w:val="22"/>
        </w:rPr>
      </w:pPr>
      <w:r w:rsidRPr="00F241BD">
        <w:rPr>
          <w:b/>
          <w:szCs w:val="22"/>
        </w:rPr>
        <w:t>Funding</w:t>
      </w:r>
    </w:p>
    <w:p w:rsidR="00F241BD" w:rsidRPr="00F241BD" w:rsidRDefault="00F241BD" w:rsidP="00F241BD">
      <w:pPr>
        <w:spacing w:line="480" w:lineRule="auto"/>
        <w:rPr>
          <w:szCs w:val="22"/>
        </w:rPr>
      </w:pPr>
      <w:r w:rsidRPr="00F241BD">
        <w:rPr>
          <w:szCs w:val="22"/>
        </w:rPr>
        <w:t>This work was supported by the Example Funding Agency under Grant ABC-1234.</w:t>
      </w:r>
    </w:p>
    <w:p w:rsidR="00F241BD" w:rsidRPr="00F241BD" w:rsidRDefault="00F241BD" w:rsidP="00F241BD">
      <w:pPr>
        <w:spacing w:line="480" w:lineRule="auto"/>
        <w:rPr>
          <w:b/>
          <w:szCs w:val="22"/>
        </w:rPr>
      </w:pPr>
      <w:r w:rsidRPr="00F241BD">
        <w:rPr>
          <w:b/>
          <w:szCs w:val="22"/>
        </w:rPr>
        <w:t>Conflict of Interest</w:t>
      </w:r>
    </w:p>
    <w:p w:rsidR="00F241BD" w:rsidRPr="00F241BD" w:rsidRDefault="00F241BD" w:rsidP="00F241BD">
      <w:pPr>
        <w:spacing w:line="480" w:lineRule="auto"/>
        <w:rPr>
          <w:szCs w:val="22"/>
        </w:rPr>
      </w:pPr>
      <w:r w:rsidRPr="00F241BD">
        <w:rPr>
          <w:szCs w:val="22"/>
        </w:rPr>
        <w:t>The authors declare no conflict of interest.</w:t>
      </w:r>
    </w:p>
    <w:p w:rsidR="00F241BD" w:rsidRPr="00F241BD" w:rsidRDefault="00F241BD" w:rsidP="00F241BD">
      <w:pPr>
        <w:spacing w:line="480" w:lineRule="auto"/>
        <w:rPr>
          <w:b/>
          <w:szCs w:val="22"/>
        </w:rPr>
      </w:pPr>
      <w:r w:rsidRPr="00F241BD">
        <w:rPr>
          <w:b/>
          <w:szCs w:val="22"/>
        </w:rPr>
        <w:t>Ethics Approval</w:t>
      </w:r>
    </w:p>
    <w:p w:rsidR="00F241BD" w:rsidRPr="00F241BD" w:rsidRDefault="00F241BD" w:rsidP="00F241BD">
      <w:pPr>
        <w:spacing w:line="480" w:lineRule="auto"/>
        <w:rPr>
          <w:szCs w:val="22"/>
        </w:rPr>
      </w:pPr>
      <w:r w:rsidRPr="00F241BD">
        <w:rPr>
          <w:szCs w:val="22"/>
        </w:rPr>
        <w:t>No human participants or animals were involved. The study followed institutional safety protocols.</w:t>
      </w:r>
    </w:p>
    <w:p w:rsidR="00F241BD" w:rsidRPr="00F241BD" w:rsidRDefault="00F241BD" w:rsidP="00F241BD">
      <w:pPr>
        <w:spacing w:line="480" w:lineRule="auto"/>
        <w:rPr>
          <w:b/>
          <w:szCs w:val="22"/>
        </w:rPr>
      </w:pPr>
      <w:r w:rsidRPr="00F241BD">
        <w:rPr>
          <w:b/>
          <w:szCs w:val="22"/>
        </w:rPr>
        <w:t>Data and Code Availability</w:t>
      </w:r>
    </w:p>
    <w:p w:rsidR="00F241BD" w:rsidRPr="00F241BD" w:rsidRDefault="00F241BD" w:rsidP="00F241BD">
      <w:pPr>
        <w:spacing w:line="480" w:lineRule="auto"/>
        <w:rPr>
          <w:szCs w:val="22"/>
        </w:rPr>
      </w:pPr>
      <w:r w:rsidRPr="00F241BD">
        <w:rPr>
          <w:szCs w:val="22"/>
        </w:rPr>
        <w:t>Data and code are available at https://example.org/repository upon reasonable request or via DOI</w:t>
      </w:r>
      <w:proofErr w:type="gramStart"/>
      <w:r w:rsidRPr="00F241BD">
        <w:rPr>
          <w:szCs w:val="22"/>
        </w:rPr>
        <w:t>:10.0000</w:t>
      </w:r>
      <w:proofErr w:type="gramEnd"/>
      <w:r w:rsidRPr="00F241BD">
        <w:rPr>
          <w:szCs w:val="22"/>
        </w:rPr>
        <w:t>/example.</w:t>
      </w:r>
    </w:p>
    <w:p w:rsidR="00F241BD" w:rsidRPr="00F241BD" w:rsidRDefault="00F241BD" w:rsidP="00F241BD">
      <w:pPr>
        <w:spacing w:line="480" w:lineRule="auto"/>
        <w:rPr>
          <w:b/>
          <w:szCs w:val="22"/>
        </w:rPr>
      </w:pPr>
    </w:p>
    <w:p w:rsidR="00F241BD" w:rsidRPr="00F241BD" w:rsidRDefault="00F241BD" w:rsidP="00F241BD">
      <w:pPr>
        <w:spacing w:line="480" w:lineRule="auto"/>
        <w:rPr>
          <w:b/>
          <w:szCs w:val="22"/>
        </w:rPr>
      </w:pPr>
    </w:p>
    <w:p w:rsidR="00F241BD" w:rsidRPr="00F241BD" w:rsidRDefault="00F241BD" w:rsidP="00F241BD">
      <w:pPr>
        <w:spacing w:line="480" w:lineRule="auto"/>
        <w:rPr>
          <w:b/>
          <w:szCs w:val="22"/>
        </w:rPr>
      </w:pPr>
    </w:p>
    <w:p w:rsidR="00F241BD" w:rsidRPr="00F241BD" w:rsidRDefault="00F241BD" w:rsidP="00F241BD">
      <w:pPr>
        <w:spacing w:line="480" w:lineRule="auto"/>
        <w:rPr>
          <w:b/>
          <w:szCs w:val="22"/>
        </w:rPr>
      </w:pPr>
      <w:r w:rsidRPr="00F241BD">
        <w:rPr>
          <w:b/>
          <w:szCs w:val="22"/>
        </w:rPr>
        <w:lastRenderedPageBreak/>
        <w:t>Author Contributions (</w:t>
      </w:r>
      <w:proofErr w:type="spellStart"/>
      <w:r w:rsidRPr="00F241BD">
        <w:rPr>
          <w:b/>
          <w:szCs w:val="22"/>
        </w:rPr>
        <w:t>CRediT</w:t>
      </w:r>
      <w:proofErr w:type="spellEnd"/>
      <w:r w:rsidRPr="00F241BD">
        <w:rPr>
          <w:b/>
          <w:szCs w:val="22"/>
        </w:rPr>
        <w:t>)</w:t>
      </w:r>
    </w:p>
    <w:p w:rsidR="00F241BD" w:rsidRPr="00F241BD" w:rsidRDefault="00F241BD" w:rsidP="00F241BD">
      <w:pPr>
        <w:spacing w:line="480" w:lineRule="auto"/>
        <w:rPr>
          <w:szCs w:val="22"/>
        </w:rPr>
      </w:pPr>
      <w:r w:rsidRPr="00F241BD">
        <w:rPr>
          <w:szCs w:val="22"/>
        </w:rPr>
        <w:t>Conceptualization: F.A.A.; Methodology: F.A.A., S.B.A.; Investigation: S.B.A.; Validation: T.C.A.; Writing—original draft: F.A.A.; Writing—review &amp; editing: S.B.A., T.C.A.; Supervision: T.C.A.</w:t>
      </w:r>
    </w:p>
    <w:p w:rsidR="00F241BD" w:rsidRPr="00F241BD" w:rsidRDefault="00F241BD" w:rsidP="00F241BD">
      <w:pPr>
        <w:spacing w:line="480" w:lineRule="auto"/>
        <w:rPr>
          <w:b/>
          <w:szCs w:val="22"/>
        </w:rPr>
      </w:pPr>
      <w:r w:rsidRPr="00F241BD">
        <w:rPr>
          <w:b/>
          <w:szCs w:val="22"/>
        </w:rPr>
        <w:t>AI-Use Disclosure</w:t>
      </w:r>
    </w:p>
    <w:p w:rsidR="00F241BD" w:rsidRPr="00F241BD" w:rsidRDefault="00F241BD" w:rsidP="00F241BD">
      <w:pPr>
        <w:spacing w:line="480" w:lineRule="auto"/>
        <w:rPr>
          <w:szCs w:val="22"/>
        </w:rPr>
      </w:pPr>
      <w:r w:rsidRPr="00F241BD">
        <w:rPr>
          <w:szCs w:val="22"/>
        </w:rPr>
        <w:t>The authors used a generative language tool for grammar polishing only; all technical content and conclusions were authored and verified by the authors.</w:t>
      </w:r>
    </w:p>
    <w:p w:rsidR="00F241BD" w:rsidRPr="00F241BD" w:rsidRDefault="00F241BD" w:rsidP="00F241BD">
      <w:pPr>
        <w:spacing w:line="480" w:lineRule="auto"/>
        <w:rPr>
          <w:b/>
          <w:szCs w:val="22"/>
        </w:rPr>
      </w:pPr>
      <w:r w:rsidRPr="00F241BD">
        <w:rPr>
          <w:b/>
          <w:szCs w:val="22"/>
        </w:rPr>
        <w:t>References</w:t>
      </w:r>
    </w:p>
    <w:p w:rsidR="00742C8D" w:rsidRPr="00742C8D" w:rsidRDefault="00742C8D" w:rsidP="00742C8D">
      <w:pPr>
        <w:autoSpaceDE w:val="0"/>
        <w:autoSpaceDN w:val="0"/>
        <w:adjustRightInd w:val="0"/>
        <w:spacing w:after="200" w:line="276" w:lineRule="auto"/>
        <w:jc w:val="both"/>
        <w:rPr>
          <w:rFonts w:ascii="Cambria" w:eastAsia="Calibri" w:hAnsi="Cambria" w:cs="TimesNewRomanPS-BoldMT"/>
          <w:bCs/>
          <w:sz w:val="20"/>
          <w:szCs w:val="20"/>
        </w:rPr>
      </w:pPr>
      <w:proofErr w:type="spellStart"/>
      <w:proofErr w:type="gramStart"/>
      <w:r w:rsidRPr="00742C8D">
        <w:rPr>
          <w:rFonts w:ascii="Cambria" w:eastAsia="Calibri" w:hAnsi="Cambria"/>
          <w:sz w:val="20"/>
          <w:szCs w:val="20"/>
        </w:rPr>
        <w:t>Obire</w:t>
      </w:r>
      <w:proofErr w:type="spellEnd"/>
      <w:r w:rsidRPr="00742C8D">
        <w:rPr>
          <w:rFonts w:ascii="Cambria" w:eastAsia="Calibri" w:hAnsi="Cambria"/>
          <w:sz w:val="20"/>
          <w:szCs w:val="20"/>
        </w:rPr>
        <w:t xml:space="preserve">, E.V, Akazue M.I, </w:t>
      </w:r>
      <w:r>
        <w:rPr>
          <w:rFonts w:ascii="Cambria" w:eastAsia="Calibri" w:hAnsi="Cambria"/>
          <w:sz w:val="20"/>
          <w:szCs w:val="20"/>
        </w:rPr>
        <w:t>and</w:t>
      </w:r>
      <w:r w:rsidRPr="00742C8D">
        <w:rPr>
          <w:rFonts w:ascii="Cambria" w:eastAsia="Calibri" w:hAnsi="Cambria"/>
          <w:sz w:val="20"/>
          <w:szCs w:val="20"/>
        </w:rPr>
        <w:t xml:space="preserve"> Okumoku-Evroro, O (2026).</w:t>
      </w:r>
      <w:proofErr w:type="gramEnd"/>
      <w:r w:rsidRPr="00742C8D">
        <w:rPr>
          <w:rFonts w:ascii="Cambria" w:eastAsia="Calibri" w:hAnsi="Cambria"/>
          <w:sz w:val="20"/>
          <w:szCs w:val="20"/>
        </w:rPr>
        <w:t xml:space="preserve"> Integration of Real-Time Occupancy Detection Module and Security Encryption Standards for an IOT-Based Smart Distribution Metered System. International Journal of Research and Scientific Innovation, 13(4), </w:t>
      </w:r>
      <w:hyperlink r:id="rId13" w:history="1">
        <w:r w:rsidRPr="00742C8D">
          <w:rPr>
            <w:rFonts w:ascii="Cambria" w:eastAsia="Calibri" w:hAnsi="Cambria"/>
            <w:color w:val="0000FF"/>
            <w:sz w:val="20"/>
            <w:szCs w:val="20"/>
            <w:u w:val="single"/>
          </w:rPr>
          <w:t>https://doi.org/10.51244/IJRSI.2026.1304000072</w:t>
        </w:r>
      </w:hyperlink>
      <w:r w:rsidRPr="00742C8D">
        <w:rPr>
          <w:rFonts w:ascii="Cambria" w:eastAsia="Calibri" w:hAnsi="Cambria"/>
          <w:sz w:val="20"/>
          <w:szCs w:val="20"/>
        </w:rPr>
        <w:t xml:space="preserve"> </w:t>
      </w:r>
    </w:p>
    <w:p w:rsidR="00742C8D" w:rsidRPr="00742C8D" w:rsidRDefault="00742C8D" w:rsidP="00742C8D">
      <w:pPr>
        <w:autoSpaceDE w:val="0"/>
        <w:autoSpaceDN w:val="0"/>
        <w:adjustRightInd w:val="0"/>
        <w:spacing w:after="200" w:line="276" w:lineRule="auto"/>
        <w:jc w:val="both"/>
        <w:rPr>
          <w:rFonts w:ascii="Cambria" w:eastAsia="Calibri" w:hAnsi="Cambria" w:cs="TimesNewRomanPS-BoldMT"/>
          <w:bCs/>
          <w:sz w:val="20"/>
          <w:szCs w:val="20"/>
        </w:rPr>
      </w:pPr>
      <w:r w:rsidRPr="00742C8D">
        <w:rPr>
          <w:rFonts w:ascii="Cambria" w:eastAsia="Calibri" w:hAnsi="Cambria"/>
          <w:kern w:val="2"/>
          <w:sz w:val="20"/>
          <w:szCs w:val="20"/>
          <w:lang w:val="it-IT"/>
        </w:rPr>
        <w:t>Okumoku-Evroro O,</w:t>
      </w:r>
      <w:r w:rsidRPr="00742C8D">
        <w:rPr>
          <w:rFonts w:ascii="Cambria" w:eastAsia="Calibri" w:hAnsi="Cambria"/>
          <w:sz w:val="20"/>
          <w:szCs w:val="20"/>
        </w:rPr>
        <w:t xml:space="preserve"> </w:t>
      </w:r>
      <w:r w:rsidRPr="00742C8D">
        <w:rPr>
          <w:rFonts w:ascii="Cambria" w:eastAsia="Calibri" w:hAnsi="Cambria" w:cs="TimesNewRomanPS-BoldMT"/>
          <w:bCs/>
          <w:sz w:val="20"/>
          <w:szCs w:val="20"/>
        </w:rPr>
        <w:t xml:space="preserve">Mega O.G, </w:t>
      </w:r>
      <w:proofErr w:type="spellStart"/>
      <w:r w:rsidRPr="00742C8D">
        <w:rPr>
          <w:rFonts w:ascii="Cambria" w:eastAsia="Calibri" w:hAnsi="Cambria" w:cs="TimesNewRomanPS-BoldMT"/>
          <w:bCs/>
          <w:sz w:val="20"/>
          <w:szCs w:val="20"/>
        </w:rPr>
        <w:t>Oyovwe</w:t>
      </w:r>
      <w:proofErr w:type="spellEnd"/>
      <w:r w:rsidRPr="00742C8D">
        <w:rPr>
          <w:rFonts w:ascii="Cambria" w:eastAsia="Calibri" w:hAnsi="Cambria" w:cs="TimesNewRomanPS-BoldMT"/>
          <w:bCs/>
          <w:sz w:val="20"/>
          <w:szCs w:val="20"/>
        </w:rPr>
        <w:t xml:space="preserve"> E.B, </w:t>
      </w:r>
      <w:proofErr w:type="spellStart"/>
      <w:r w:rsidRPr="00742C8D">
        <w:rPr>
          <w:rFonts w:ascii="Cambria" w:eastAsia="Calibri" w:hAnsi="Cambria" w:cs="TimesNewRomanPS-BoldMT"/>
          <w:bCs/>
          <w:sz w:val="20"/>
          <w:szCs w:val="20"/>
        </w:rPr>
        <w:t>Atonuje</w:t>
      </w:r>
      <w:proofErr w:type="spellEnd"/>
      <w:r w:rsidRPr="00742C8D">
        <w:rPr>
          <w:rFonts w:ascii="Cambria" w:eastAsia="Calibri" w:hAnsi="Cambria" w:cs="TimesNewRomanPS-BoldMT"/>
          <w:bCs/>
          <w:sz w:val="20"/>
          <w:szCs w:val="20"/>
        </w:rPr>
        <w:t xml:space="preserve"> E.O, </w:t>
      </w:r>
      <w:proofErr w:type="spellStart"/>
      <w:r w:rsidRPr="00742C8D">
        <w:rPr>
          <w:rFonts w:ascii="Cambria" w:eastAsia="Calibri" w:hAnsi="Cambria" w:cs="TimesNewRomanPS-BoldMT"/>
          <w:bCs/>
          <w:sz w:val="20"/>
          <w:szCs w:val="20"/>
        </w:rPr>
        <w:t>Nweke</w:t>
      </w:r>
      <w:proofErr w:type="spellEnd"/>
      <w:r w:rsidRPr="00742C8D">
        <w:rPr>
          <w:rFonts w:ascii="Cambria" w:eastAsia="Calibri" w:hAnsi="Cambria" w:cs="TimesNewRomanPS-BoldMT"/>
          <w:bCs/>
          <w:sz w:val="20"/>
          <w:szCs w:val="20"/>
        </w:rPr>
        <w:t xml:space="preserve"> G.N, </w:t>
      </w:r>
      <w:proofErr w:type="spellStart"/>
      <w:r w:rsidRPr="00742C8D">
        <w:rPr>
          <w:rFonts w:ascii="Cambria" w:eastAsia="Calibri" w:hAnsi="Cambria" w:cs="TimesNewRomanPS-BoldMT"/>
          <w:bCs/>
          <w:sz w:val="20"/>
          <w:szCs w:val="20"/>
        </w:rPr>
        <w:t>Oseh-Ovarah</w:t>
      </w:r>
      <w:proofErr w:type="spellEnd"/>
      <w:r w:rsidRPr="00742C8D">
        <w:rPr>
          <w:rFonts w:ascii="Cambria" w:eastAsia="Calibri" w:hAnsi="Cambria" w:cs="TimesNewRomanPS-BoldMT"/>
          <w:bCs/>
          <w:sz w:val="20"/>
          <w:szCs w:val="20"/>
        </w:rPr>
        <w:t xml:space="preserve"> V, </w:t>
      </w:r>
      <w:proofErr w:type="spellStart"/>
      <w:r w:rsidRPr="00742C8D">
        <w:rPr>
          <w:rFonts w:ascii="Cambria" w:eastAsia="Calibri" w:hAnsi="Cambria" w:cs="TimesNewRomanPS-BoldMT"/>
          <w:bCs/>
          <w:sz w:val="20"/>
          <w:szCs w:val="20"/>
        </w:rPr>
        <w:t>Umukoro</w:t>
      </w:r>
      <w:proofErr w:type="spellEnd"/>
      <w:r w:rsidRPr="00742C8D">
        <w:rPr>
          <w:rFonts w:ascii="Cambria" w:eastAsia="Calibri" w:hAnsi="Cambria" w:cs="TimesNewRomanPS-BoldMT"/>
          <w:bCs/>
          <w:sz w:val="20"/>
          <w:szCs w:val="20"/>
        </w:rPr>
        <w:t xml:space="preserve"> G, </w:t>
      </w:r>
      <w:proofErr w:type="spellStart"/>
      <w:r w:rsidRPr="00742C8D">
        <w:rPr>
          <w:rFonts w:ascii="Cambria" w:eastAsia="Calibri" w:hAnsi="Cambria" w:cs="TimesNewRomanPS-BoldMT"/>
          <w:bCs/>
          <w:sz w:val="20"/>
          <w:szCs w:val="20"/>
        </w:rPr>
        <w:t>Awhana</w:t>
      </w:r>
      <w:proofErr w:type="spellEnd"/>
      <w:r w:rsidRPr="00742C8D">
        <w:rPr>
          <w:rFonts w:ascii="Cambria" w:eastAsia="Calibri" w:hAnsi="Cambria" w:cs="TimesNewRomanPS-BoldMT"/>
          <w:bCs/>
          <w:sz w:val="20"/>
          <w:szCs w:val="20"/>
        </w:rPr>
        <w:t xml:space="preserve"> O, </w:t>
      </w:r>
      <w:proofErr w:type="spellStart"/>
      <w:r w:rsidRPr="00742C8D">
        <w:rPr>
          <w:rFonts w:ascii="Cambria" w:eastAsia="Calibri" w:hAnsi="Cambria" w:cs="TimesNewRomanPS-BoldMT"/>
          <w:bCs/>
          <w:sz w:val="20"/>
          <w:szCs w:val="20"/>
        </w:rPr>
        <w:t>Tugbokorowei</w:t>
      </w:r>
      <w:proofErr w:type="spellEnd"/>
      <w:r w:rsidRPr="00742C8D">
        <w:rPr>
          <w:rFonts w:ascii="Cambria" w:eastAsia="Calibri" w:hAnsi="Cambria" w:cs="TimesNewRomanPS-BoldMT"/>
          <w:bCs/>
          <w:sz w:val="20"/>
          <w:szCs w:val="20"/>
        </w:rPr>
        <w:t xml:space="preserve"> O.C, </w:t>
      </w:r>
      <w:r>
        <w:rPr>
          <w:rFonts w:ascii="Cambria" w:eastAsia="Calibri" w:hAnsi="Cambria" w:cs="TimesNewRomanPS-BoldMT"/>
          <w:bCs/>
          <w:sz w:val="20"/>
          <w:szCs w:val="20"/>
        </w:rPr>
        <w:t>and</w:t>
      </w:r>
      <w:r w:rsidRPr="00742C8D">
        <w:rPr>
          <w:rFonts w:ascii="Cambria" w:eastAsia="Calibri" w:hAnsi="Cambria" w:cs="TimesNewRomanPS-BoldMT"/>
          <w:bCs/>
          <w:sz w:val="20"/>
          <w:szCs w:val="20"/>
        </w:rPr>
        <w:t xml:space="preserve"> </w:t>
      </w:r>
      <w:proofErr w:type="spellStart"/>
      <w:r w:rsidRPr="00742C8D">
        <w:rPr>
          <w:rFonts w:ascii="Cambria" w:eastAsia="Calibri" w:hAnsi="Cambria" w:cs="TimesNewRomanPS-BoldMT"/>
          <w:bCs/>
          <w:sz w:val="20"/>
          <w:szCs w:val="20"/>
        </w:rPr>
        <w:t>Omena</w:t>
      </w:r>
      <w:proofErr w:type="spellEnd"/>
      <w:r w:rsidRPr="00742C8D">
        <w:rPr>
          <w:rFonts w:ascii="Cambria" w:eastAsia="Calibri" w:hAnsi="Cambria" w:cs="TimesNewRomanPS-BoldMT"/>
          <w:bCs/>
          <w:sz w:val="20"/>
          <w:szCs w:val="20"/>
        </w:rPr>
        <w:t xml:space="preserve"> R.A</w:t>
      </w:r>
      <w:r w:rsidRPr="00742C8D">
        <w:rPr>
          <w:rFonts w:ascii="Cambria" w:eastAsia="Calibri" w:hAnsi="Cambria"/>
          <w:kern w:val="2"/>
          <w:sz w:val="20"/>
          <w:szCs w:val="20"/>
          <w:lang w:val="it-IT"/>
        </w:rPr>
        <w:t xml:space="preserve"> (2026). Interdependence Between smart City Systems and Internet Infrastructure Architehture. </w:t>
      </w:r>
      <w:r w:rsidRPr="00742C8D">
        <w:rPr>
          <w:rFonts w:ascii="Cambria" w:eastAsia="Calibri" w:hAnsi="Cambria"/>
          <w:i/>
          <w:kern w:val="2"/>
          <w:sz w:val="20"/>
          <w:szCs w:val="20"/>
          <w:lang w:val="it-IT"/>
        </w:rPr>
        <w:t xml:space="preserve">International Journal of Research and Scienctific Innovation (IJRSI), 13(13), 1-12. DOI: </w:t>
      </w:r>
      <w:r w:rsidRPr="00742C8D">
        <w:rPr>
          <w:rFonts w:ascii="Cambria" w:eastAsia="Calibri" w:hAnsi="Cambria" w:cs="TimesNewRomanPS-BoldMT"/>
          <w:bCs/>
          <w:color w:val="0000FF"/>
          <w:sz w:val="20"/>
          <w:szCs w:val="20"/>
        </w:rPr>
        <w:t>https://doi.org/10.51244/IJRSI.2026.1313CS001</w:t>
      </w:r>
    </w:p>
    <w:p w:rsidR="00742C8D" w:rsidRPr="00742C8D" w:rsidRDefault="00742C8D" w:rsidP="00742C8D">
      <w:pPr>
        <w:tabs>
          <w:tab w:val="right" w:pos="9360"/>
        </w:tabs>
        <w:spacing w:after="200" w:line="276" w:lineRule="auto"/>
        <w:jc w:val="both"/>
        <w:rPr>
          <w:rFonts w:ascii="Cambria" w:eastAsia="Calibri" w:hAnsi="Cambria"/>
          <w:caps/>
          <w:color w:val="000000"/>
          <w:sz w:val="20"/>
          <w:szCs w:val="20"/>
        </w:rPr>
      </w:pPr>
      <w:r w:rsidRPr="00742C8D">
        <w:rPr>
          <w:rFonts w:ascii="Cambria" w:eastAsia="Calibri" w:hAnsi="Cambria"/>
          <w:kern w:val="2"/>
          <w:sz w:val="20"/>
          <w:szCs w:val="20"/>
          <w:lang w:val="it-IT"/>
        </w:rPr>
        <w:t>Okitikpi, O., Akazue, M. I., Okumoku-Evroro O,</w:t>
      </w:r>
      <w:r w:rsidRPr="00742C8D">
        <w:rPr>
          <w:rFonts w:ascii="Cambria" w:eastAsia="Calibri" w:hAnsi="Cambria"/>
          <w:sz w:val="20"/>
          <w:szCs w:val="20"/>
        </w:rPr>
        <w:t xml:space="preserve"> </w:t>
      </w:r>
      <w:r>
        <w:rPr>
          <w:rFonts w:ascii="Cambria" w:eastAsia="Calibri" w:hAnsi="Cambria"/>
          <w:kern w:val="2"/>
          <w:sz w:val="20"/>
          <w:szCs w:val="20"/>
          <w:lang w:val="it-IT"/>
        </w:rPr>
        <w:t>and</w:t>
      </w:r>
      <w:r w:rsidRPr="00742C8D">
        <w:rPr>
          <w:rFonts w:ascii="Cambria" w:eastAsia="Calibri" w:hAnsi="Cambria"/>
          <w:kern w:val="2"/>
          <w:sz w:val="20"/>
          <w:szCs w:val="20"/>
          <w:lang w:val="it-IT"/>
        </w:rPr>
        <w:t xml:space="preserve"> Obidike, C. A. (2025). Development of a model for predicting hypertension disorders in pregnancy using machine learning. </w:t>
      </w:r>
      <w:r w:rsidRPr="00742C8D">
        <w:rPr>
          <w:rFonts w:ascii="Cambria" w:eastAsia="Calibri" w:hAnsi="Cambria"/>
          <w:i/>
          <w:kern w:val="2"/>
          <w:sz w:val="20"/>
          <w:szCs w:val="20"/>
          <w:lang w:val="it-IT"/>
        </w:rPr>
        <w:t xml:space="preserve">GAS Journal of Clinical Medicine and Medical Research, 2(9), 11-13. </w:t>
      </w:r>
      <w:hyperlink r:id="rId14" w:history="1">
        <w:r w:rsidRPr="00742C8D">
          <w:rPr>
            <w:rFonts w:ascii="Cambria" w:eastAsia="Calibri" w:hAnsi="Cambria"/>
            <w:i/>
            <w:color w:val="0000FF"/>
            <w:kern w:val="2"/>
            <w:sz w:val="20"/>
            <w:szCs w:val="20"/>
            <w:u w:val="single"/>
            <w:lang w:val="it-IT"/>
          </w:rPr>
          <w:t>https://gaspublishers.com/gasjcmmr-vol-2-issue-9-2025/</w:t>
        </w:r>
      </w:hyperlink>
    </w:p>
    <w:p w:rsidR="00314678" w:rsidRPr="00BF3012" w:rsidRDefault="00314678" w:rsidP="00F241BD">
      <w:pPr>
        <w:spacing w:after="240"/>
        <w:jc w:val="both"/>
        <w:rPr>
          <w:rFonts w:cs="Calibri"/>
          <w:color w:val="000000"/>
          <w:sz w:val="20"/>
          <w:szCs w:val="20"/>
        </w:rPr>
      </w:pPr>
    </w:p>
    <w:sectPr w:rsidR="00314678" w:rsidRPr="00BF3012" w:rsidSect="00741138">
      <w:footerReference w:type="default" r:id="rId15"/>
      <w:type w:val="continuous"/>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5E8" w:rsidRDefault="007C75E8" w:rsidP="00D1732D">
      <w:r>
        <w:separator/>
      </w:r>
    </w:p>
  </w:endnote>
  <w:endnote w:type="continuationSeparator" w:id="0">
    <w:p w:rsidR="007C75E8" w:rsidRDefault="007C75E8" w:rsidP="00D17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dvGulliv-I">
    <w:panose1 w:val="00000000000000000000"/>
    <w:charset w:val="00"/>
    <w:family w:val="auto"/>
    <w:notTrueType/>
    <w:pitch w:val="default"/>
    <w:sig w:usb0="00000003" w:usb1="00000000" w:usb2="00000000" w:usb3="00000000" w:csb0="00000001" w:csb1="00000000"/>
  </w:font>
  <w:font w:name="AdvGulliv-R">
    <w:panose1 w:val="00000000000000000000"/>
    <w:charset w:val="00"/>
    <w:family w:val="auto"/>
    <w:notTrueType/>
    <w:pitch w:val="default"/>
    <w:sig w:usb0="00000003" w:usb1="00000000" w:usb2="00000000" w:usb3="00000000" w:csb0="00000001" w:csb1="00000000"/>
  </w:font>
  <w:font w:name="TimesNewRomanPS-Bold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138" w:rsidRPr="00741138" w:rsidRDefault="00741138" w:rsidP="00741138">
    <w:pPr>
      <w:autoSpaceDE w:val="0"/>
      <w:autoSpaceDN w:val="0"/>
      <w:adjustRightInd w:val="0"/>
      <w:spacing w:after="200" w:line="276" w:lineRule="auto"/>
      <w:ind w:left="-567" w:right="-426"/>
      <w:jc w:val="both"/>
      <w:rPr>
        <w:rFonts w:ascii="Cambria" w:eastAsia="Calibri" w:hAnsi="Cambria" w:cs="TimesNewRomanPS-BoldMT"/>
        <w:bCs/>
      </w:rPr>
    </w:pPr>
    <w:r w:rsidRPr="00741138">
      <w:rPr>
        <w:rFonts w:ascii="Cambria" w:eastAsia="Calibri" w:hAnsi="Cambria"/>
        <w:kern w:val="2"/>
        <w:lang w:val="it-IT"/>
      </w:rPr>
      <w:t>Okumoku-Evroro O,</w:t>
    </w:r>
    <w:r w:rsidRPr="00741138">
      <w:rPr>
        <w:rFonts w:ascii="Cambria" w:eastAsia="Calibri" w:hAnsi="Cambria"/>
      </w:rPr>
      <w:t xml:space="preserve"> </w:t>
    </w:r>
    <w:proofErr w:type="spellStart"/>
    <w:r w:rsidRPr="00741138">
      <w:rPr>
        <w:rFonts w:ascii="Cambria" w:eastAsia="Calibri" w:hAnsi="Cambria" w:cs="TimesNewRomanPS-BoldMT"/>
        <w:bCs/>
      </w:rPr>
      <w:t>Osame</w:t>
    </w:r>
    <w:proofErr w:type="spellEnd"/>
    <w:r w:rsidRPr="00741138">
      <w:rPr>
        <w:rFonts w:ascii="Cambria" w:eastAsia="Calibri" w:hAnsi="Cambria" w:cs="TimesNewRomanPS-BoldMT"/>
        <w:bCs/>
      </w:rPr>
      <w:t xml:space="preserve"> U.J, </w:t>
    </w:r>
    <w:proofErr w:type="spellStart"/>
    <w:r w:rsidRPr="00741138">
      <w:rPr>
        <w:rFonts w:ascii="Cambria" w:eastAsia="Calibri" w:hAnsi="Cambria" w:cs="TimesNewRomanPS-BoldMT"/>
        <w:bCs/>
      </w:rPr>
      <w:t>Omoro</w:t>
    </w:r>
    <w:proofErr w:type="spellEnd"/>
    <w:r w:rsidRPr="00741138">
      <w:rPr>
        <w:rFonts w:ascii="Cambria" w:eastAsia="Calibri" w:hAnsi="Cambria" w:cs="TimesNewRomanPS-BoldMT"/>
        <w:bCs/>
      </w:rPr>
      <w:t xml:space="preserve"> P.O, </w:t>
    </w:r>
    <w:proofErr w:type="spellStart"/>
    <w:r w:rsidRPr="00741138">
      <w:rPr>
        <w:rFonts w:ascii="Cambria" w:eastAsia="Calibri" w:hAnsi="Cambria" w:cs="TimesNewRomanPS-BoldMT"/>
        <w:bCs/>
      </w:rPr>
      <w:t>Awhana</w:t>
    </w:r>
    <w:proofErr w:type="spellEnd"/>
    <w:r w:rsidRPr="00741138">
      <w:rPr>
        <w:rFonts w:ascii="Cambria" w:eastAsia="Calibri" w:hAnsi="Cambria" w:cs="TimesNewRomanPS-BoldMT"/>
        <w:bCs/>
      </w:rPr>
      <w:t xml:space="preserve"> O, </w:t>
    </w:r>
    <w:r w:rsidRPr="00741138">
      <w:rPr>
        <w:rFonts w:ascii="Cambria" w:eastAsia="Calibri" w:hAnsi="Cambria"/>
        <w:kern w:val="2"/>
        <w:lang w:val="it-IT"/>
      </w:rPr>
      <w:t xml:space="preserve">(2026). </w:t>
    </w:r>
    <w:proofErr w:type="spellStart"/>
    <w:r w:rsidRPr="00741138">
      <w:rPr>
        <w:rFonts w:ascii="Cambria" w:eastAsia="Calibri" w:hAnsi="Cambria"/>
        <w:bCs/>
      </w:rPr>
      <w:t>Serverless</w:t>
    </w:r>
    <w:proofErr w:type="spellEnd"/>
    <w:r w:rsidRPr="00741138">
      <w:rPr>
        <w:rFonts w:ascii="Cambria" w:eastAsia="Calibri" w:hAnsi="Cambria"/>
        <w:bCs/>
      </w:rPr>
      <w:t xml:space="preserve"> Architecture And Its Impact On Scalable Web Services. </w:t>
    </w:r>
    <w:r w:rsidRPr="00741138">
      <w:rPr>
        <w:rFonts w:ascii="Cambria" w:eastAsia="Calibri" w:hAnsi="Cambria"/>
        <w:i/>
      </w:rPr>
      <w:t>International Journal of Research and Innova</w:t>
    </w:r>
    <w:r>
      <w:rPr>
        <w:rFonts w:ascii="Cambria" w:eastAsia="Calibri" w:hAnsi="Cambria"/>
        <w:i/>
      </w:rPr>
      <w:t>tion in Applied Science. 11(15)</w:t>
    </w:r>
    <w:r w:rsidRPr="00741138">
      <w:rPr>
        <w:rFonts w:ascii="Cambria" w:eastAsia="Calibri" w:hAnsi="Cambria"/>
        <w:i/>
      </w:rPr>
      <w:t xml:space="preserve">. </w:t>
    </w:r>
  </w:p>
  <w:p w:rsidR="00741138" w:rsidRPr="00741138" w:rsidRDefault="00741138" w:rsidP="007411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138" w:rsidRPr="00741138" w:rsidRDefault="00741138" w:rsidP="00741138">
    <w:pPr>
      <w:autoSpaceDE w:val="0"/>
      <w:autoSpaceDN w:val="0"/>
      <w:adjustRightInd w:val="0"/>
      <w:spacing w:after="200" w:line="276" w:lineRule="auto"/>
      <w:ind w:left="-567" w:right="-426"/>
      <w:jc w:val="both"/>
      <w:rPr>
        <w:rFonts w:ascii="Cambria" w:eastAsia="Calibri" w:hAnsi="Cambria" w:cs="TimesNewRomanPS-BoldMT"/>
        <w:bCs/>
      </w:rPr>
    </w:pPr>
    <w:r w:rsidRPr="00741138">
      <w:rPr>
        <w:rFonts w:ascii="Cambria" w:eastAsia="Calibri" w:hAnsi="Cambria"/>
        <w:kern w:val="2"/>
        <w:lang w:val="it-IT"/>
      </w:rPr>
      <w:t>Okumoku-Evroro O,</w:t>
    </w:r>
    <w:r w:rsidRPr="00741138">
      <w:rPr>
        <w:rFonts w:ascii="Cambria" w:eastAsia="Calibri" w:hAnsi="Cambria"/>
      </w:rPr>
      <w:t xml:space="preserve"> </w:t>
    </w:r>
    <w:proofErr w:type="spellStart"/>
    <w:r w:rsidRPr="00741138">
      <w:rPr>
        <w:rFonts w:ascii="Cambria" w:eastAsia="Calibri" w:hAnsi="Cambria" w:cs="TimesNewRomanPS-BoldMT"/>
        <w:bCs/>
      </w:rPr>
      <w:t>Osame</w:t>
    </w:r>
    <w:proofErr w:type="spellEnd"/>
    <w:r w:rsidRPr="00741138">
      <w:rPr>
        <w:rFonts w:ascii="Cambria" w:eastAsia="Calibri" w:hAnsi="Cambria" w:cs="TimesNewRomanPS-BoldMT"/>
        <w:bCs/>
      </w:rPr>
      <w:t xml:space="preserve"> U.J, </w:t>
    </w:r>
    <w:proofErr w:type="spellStart"/>
    <w:r w:rsidRPr="00741138">
      <w:rPr>
        <w:rFonts w:ascii="Cambria" w:eastAsia="Calibri" w:hAnsi="Cambria" w:cs="TimesNewRomanPS-BoldMT"/>
        <w:bCs/>
      </w:rPr>
      <w:t>Omoro</w:t>
    </w:r>
    <w:proofErr w:type="spellEnd"/>
    <w:r w:rsidRPr="00741138">
      <w:rPr>
        <w:rFonts w:ascii="Cambria" w:eastAsia="Calibri" w:hAnsi="Cambria" w:cs="TimesNewRomanPS-BoldMT"/>
        <w:bCs/>
      </w:rPr>
      <w:t xml:space="preserve"> P.O, </w:t>
    </w:r>
    <w:proofErr w:type="spellStart"/>
    <w:r w:rsidRPr="00741138">
      <w:rPr>
        <w:rFonts w:ascii="Cambria" w:eastAsia="Calibri" w:hAnsi="Cambria" w:cs="TimesNewRomanPS-BoldMT"/>
        <w:bCs/>
      </w:rPr>
      <w:t>Awhana</w:t>
    </w:r>
    <w:proofErr w:type="spellEnd"/>
    <w:r w:rsidRPr="00741138">
      <w:rPr>
        <w:rFonts w:ascii="Cambria" w:eastAsia="Calibri" w:hAnsi="Cambria" w:cs="TimesNewRomanPS-BoldMT"/>
        <w:bCs/>
      </w:rPr>
      <w:t xml:space="preserve"> O, </w:t>
    </w:r>
    <w:r w:rsidRPr="00741138">
      <w:rPr>
        <w:rFonts w:ascii="Cambria" w:eastAsia="Calibri" w:hAnsi="Cambria"/>
        <w:kern w:val="2"/>
        <w:lang w:val="it-IT"/>
      </w:rPr>
      <w:t xml:space="preserve">(2026). </w:t>
    </w:r>
    <w:proofErr w:type="spellStart"/>
    <w:r w:rsidRPr="00741138">
      <w:rPr>
        <w:rFonts w:ascii="Cambria" w:eastAsia="Calibri" w:hAnsi="Cambria"/>
        <w:bCs/>
      </w:rPr>
      <w:t>Serverless</w:t>
    </w:r>
    <w:proofErr w:type="spellEnd"/>
    <w:r w:rsidRPr="00741138">
      <w:rPr>
        <w:rFonts w:ascii="Cambria" w:eastAsia="Calibri" w:hAnsi="Cambria"/>
        <w:bCs/>
      </w:rPr>
      <w:t xml:space="preserve"> Architecture And Its Impact On Scalable Web Services. </w:t>
    </w:r>
    <w:r w:rsidRPr="00741138">
      <w:rPr>
        <w:rFonts w:ascii="Cambria" w:eastAsia="Calibri" w:hAnsi="Cambria"/>
        <w:i/>
      </w:rPr>
      <w:t>International Journal of Research and Innova</w:t>
    </w:r>
    <w:r>
      <w:rPr>
        <w:rFonts w:ascii="Cambria" w:eastAsia="Calibri" w:hAnsi="Cambria"/>
        <w:i/>
      </w:rPr>
      <w:t>tion in Applied Science. 11(15)</w:t>
    </w:r>
    <w:r w:rsidRPr="00741138">
      <w:rPr>
        <w:rFonts w:ascii="Cambria" w:eastAsia="Calibri" w:hAnsi="Cambria"/>
        <w:i/>
      </w:rPr>
      <w:t xml:space="preserve">. </w:t>
    </w:r>
  </w:p>
  <w:p w:rsidR="00741138" w:rsidRPr="00741138" w:rsidRDefault="00741138" w:rsidP="007411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5E8" w:rsidRDefault="007C75E8" w:rsidP="00D1732D">
      <w:r>
        <w:separator/>
      </w:r>
    </w:p>
  </w:footnote>
  <w:footnote w:type="continuationSeparator" w:id="0">
    <w:p w:rsidR="007C75E8" w:rsidRDefault="007C75E8" w:rsidP="00D173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B7D" w:rsidRPr="00A34C23" w:rsidRDefault="00463B7D">
    <w:pPr>
      <w:pStyle w:val="Header"/>
      <w:jc w:val="right"/>
      <w:rPr>
        <w:sz w:val="22"/>
      </w:rPr>
    </w:pPr>
    <w:r w:rsidRPr="00A34C23">
      <w:rPr>
        <w:sz w:val="22"/>
      </w:rPr>
      <w:fldChar w:fldCharType="begin"/>
    </w:r>
    <w:r w:rsidRPr="00A34C23">
      <w:rPr>
        <w:sz w:val="22"/>
      </w:rPr>
      <w:instrText xml:space="preserve"> PAGE   \* MERGEFORMAT </w:instrText>
    </w:r>
    <w:r w:rsidRPr="00A34C23">
      <w:rPr>
        <w:sz w:val="22"/>
      </w:rPr>
      <w:fldChar w:fldCharType="separate"/>
    </w:r>
    <w:r w:rsidR="00742C8D">
      <w:rPr>
        <w:noProof/>
        <w:sz w:val="22"/>
      </w:rPr>
      <w:t>1</w:t>
    </w:r>
    <w:r w:rsidRPr="00A34C23">
      <w:rPr>
        <w:noProof/>
        <w:sz w:val="22"/>
      </w:rPr>
      <w:fldChar w:fldCharType="end"/>
    </w:r>
  </w:p>
  <w:p w:rsidR="00463B7D" w:rsidRPr="00A34C23" w:rsidRDefault="007441C0" w:rsidP="00CE1260">
    <w:pPr>
      <w:pStyle w:val="Header"/>
      <w:jc w:val="center"/>
      <w:rPr>
        <w:sz w:val="44"/>
        <w:lang w:val="en-US"/>
      </w:rPr>
    </w:pPr>
    <w:r>
      <w:rPr>
        <w:sz w:val="22"/>
        <w:szCs w:val="12"/>
        <w:lang w:val="en-US"/>
      </w:rPr>
      <w:t>DELSU</w:t>
    </w:r>
    <w:r w:rsidR="00463B7D" w:rsidRPr="00A34C23">
      <w:rPr>
        <w:sz w:val="22"/>
        <w:szCs w:val="12"/>
        <w:lang w:val="en-US"/>
      </w:rPr>
      <w:t xml:space="preserve"> Journal of</w:t>
    </w:r>
    <w:r w:rsidR="00463B7D" w:rsidRPr="00A34C23">
      <w:rPr>
        <w:sz w:val="22"/>
        <w:szCs w:val="12"/>
      </w:rPr>
      <w:t xml:space="preserve"> </w:t>
    </w:r>
    <w:r>
      <w:rPr>
        <w:sz w:val="22"/>
        <w:szCs w:val="12"/>
        <w:lang w:val="en-US"/>
      </w:rPr>
      <w:t>Computing and Information Systems 1</w:t>
    </w:r>
    <w:r w:rsidR="00463B7D" w:rsidRPr="00A34C23">
      <w:rPr>
        <w:sz w:val="22"/>
        <w:szCs w:val="12"/>
        <w:lang w:val="en-US"/>
      </w:rPr>
      <w:t xml:space="preserve">(1) </w:t>
    </w:r>
    <w:r>
      <w:rPr>
        <w:sz w:val="22"/>
        <w:szCs w:val="12"/>
        <w:lang w:val="en-US"/>
      </w:rPr>
      <w:t>2026</w:t>
    </w:r>
    <w:r w:rsidR="00463B7D" w:rsidRPr="00A34C23">
      <w:rPr>
        <w:sz w:val="22"/>
        <w:szCs w:val="12"/>
        <w:lang w:val="en-US"/>
      </w:rPr>
      <w:t xml:space="preserve"> pp. </w:t>
    </w:r>
    <w:r>
      <w:rPr>
        <w:sz w:val="22"/>
        <w:szCs w:val="12"/>
        <w:lang w:val="en-US"/>
      </w:rPr>
      <w:t>01</w:t>
    </w:r>
    <w:r w:rsidR="00463B7D" w:rsidRPr="00A34C23">
      <w:rPr>
        <w:sz w:val="22"/>
        <w:szCs w:val="12"/>
        <w:lang w:val="en-US"/>
      </w:rPr>
      <w:t>-</w:t>
    </w:r>
    <w:r>
      <w:rPr>
        <w:sz w:val="22"/>
        <w:szCs w:val="12"/>
        <w:lang w:val="en-US"/>
      </w:rPr>
      <w:t>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D4692"/>
    <w:multiLevelType w:val="hybridMultilevel"/>
    <w:tmpl w:val="F626D6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A9D61BF"/>
    <w:multiLevelType w:val="hybridMultilevel"/>
    <w:tmpl w:val="34F87A06"/>
    <w:lvl w:ilvl="0" w:tplc="BEB83310">
      <w:start w:val="2"/>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nsid w:val="106F17B6"/>
    <w:multiLevelType w:val="hybridMultilevel"/>
    <w:tmpl w:val="B8DAF6E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442570AE"/>
    <w:multiLevelType w:val="hybridMultilevel"/>
    <w:tmpl w:val="2EBA0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4EB30B3"/>
    <w:multiLevelType w:val="hybridMultilevel"/>
    <w:tmpl w:val="20B87E92"/>
    <w:lvl w:ilvl="0" w:tplc="7B0E555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ADB7DC7"/>
    <w:multiLevelType w:val="hybridMultilevel"/>
    <w:tmpl w:val="2862BF28"/>
    <w:lvl w:ilvl="0" w:tplc="06B6DE04">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0MjAwtzAyNze3MDM0NDJT0lEKTi0uzszPAykwNK4FAKFfj7EtAAAA"/>
  </w:docVars>
  <w:rsids>
    <w:rsidRoot w:val="00AA657C"/>
    <w:rsid w:val="00023F4D"/>
    <w:rsid w:val="000327B5"/>
    <w:rsid w:val="000461DD"/>
    <w:rsid w:val="00051946"/>
    <w:rsid w:val="0005454E"/>
    <w:rsid w:val="00056B79"/>
    <w:rsid w:val="00063256"/>
    <w:rsid w:val="00071B8D"/>
    <w:rsid w:val="000763F1"/>
    <w:rsid w:val="00080772"/>
    <w:rsid w:val="00081A3C"/>
    <w:rsid w:val="0009675D"/>
    <w:rsid w:val="000B3D2C"/>
    <w:rsid w:val="000B4552"/>
    <w:rsid w:val="000B4839"/>
    <w:rsid w:val="0010130F"/>
    <w:rsid w:val="001015D1"/>
    <w:rsid w:val="00104BB8"/>
    <w:rsid w:val="00105624"/>
    <w:rsid w:val="0010688A"/>
    <w:rsid w:val="001103EA"/>
    <w:rsid w:val="001127BD"/>
    <w:rsid w:val="00122F4C"/>
    <w:rsid w:val="001307FF"/>
    <w:rsid w:val="00132540"/>
    <w:rsid w:val="00133A07"/>
    <w:rsid w:val="0013469E"/>
    <w:rsid w:val="00137993"/>
    <w:rsid w:val="0014317A"/>
    <w:rsid w:val="00151953"/>
    <w:rsid w:val="0018199A"/>
    <w:rsid w:val="001A207C"/>
    <w:rsid w:val="001B07C2"/>
    <w:rsid w:val="001B38B3"/>
    <w:rsid w:val="001C2311"/>
    <w:rsid w:val="001C7409"/>
    <w:rsid w:val="00205580"/>
    <w:rsid w:val="0024234F"/>
    <w:rsid w:val="00246AA0"/>
    <w:rsid w:val="00271790"/>
    <w:rsid w:val="002848CA"/>
    <w:rsid w:val="00285764"/>
    <w:rsid w:val="0029166D"/>
    <w:rsid w:val="002D2FF1"/>
    <w:rsid w:val="002F0E1D"/>
    <w:rsid w:val="00313033"/>
    <w:rsid w:val="00314678"/>
    <w:rsid w:val="0032373B"/>
    <w:rsid w:val="003402D9"/>
    <w:rsid w:val="00341DC0"/>
    <w:rsid w:val="00343041"/>
    <w:rsid w:val="003538C8"/>
    <w:rsid w:val="00355247"/>
    <w:rsid w:val="00363CEA"/>
    <w:rsid w:val="00375793"/>
    <w:rsid w:val="003852AC"/>
    <w:rsid w:val="00387AC9"/>
    <w:rsid w:val="00390765"/>
    <w:rsid w:val="00391A43"/>
    <w:rsid w:val="00392B65"/>
    <w:rsid w:val="0039764C"/>
    <w:rsid w:val="003A0CB0"/>
    <w:rsid w:val="003A77BD"/>
    <w:rsid w:val="003B2F1B"/>
    <w:rsid w:val="003C3D47"/>
    <w:rsid w:val="003E0768"/>
    <w:rsid w:val="003E42DE"/>
    <w:rsid w:val="003E5C1C"/>
    <w:rsid w:val="003F45CD"/>
    <w:rsid w:val="003F6236"/>
    <w:rsid w:val="00404795"/>
    <w:rsid w:val="00404AEC"/>
    <w:rsid w:val="00405C66"/>
    <w:rsid w:val="004123AB"/>
    <w:rsid w:val="00414AA8"/>
    <w:rsid w:val="00430A88"/>
    <w:rsid w:val="00441769"/>
    <w:rsid w:val="00452A1B"/>
    <w:rsid w:val="00455806"/>
    <w:rsid w:val="00457BFA"/>
    <w:rsid w:val="004614E8"/>
    <w:rsid w:val="00463B7D"/>
    <w:rsid w:val="00467DF1"/>
    <w:rsid w:val="0047506D"/>
    <w:rsid w:val="00477C2D"/>
    <w:rsid w:val="00486687"/>
    <w:rsid w:val="00492BA6"/>
    <w:rsid w:val="00493B98"/>
    <w:rsid w:val="004965A1"/>
    <w:rsid w:val="004B798C"/>
    <w:rsid w:val="004E0781"/>
    <w:rsid w:val="004E1E16"/>
    <w:rsid w:val="004E2CC5"/>
    <w:rsid w:val="004E3D0B"/>
    <w:rsid w:val="00537C10"/>
    <w:rsid w:val="005465BB"/>
    <w:rsid w:val="00560092"/>
    <w:rsid w:val="00586DF8"/>
    <w:rsid w:val="00594C48"/>
    <w:rsid w:val="00597AB9"/>
    <w:rsid w:val="005E0044"/>
    <w:rsid w:val="005F2CA8"/>
    <w:rsid w:val="006028AC"/>
    <w:rsid w:val="00607E82"/>
    <w:rsid w:val="00613E85"/>
    <w:rsid w:val="00627BE9"/>
    <w:rsid w:val="00642B86"/>
    <w:rsid w:val="00650F04"/>
    <w:rsid w:val="006639BA"/>
    <w:rsid w:val="0068783A"/>
    <w:rsid w:val="006B0200"/>
    <w:rsid w:val="006B43ED"/>
    <w:rsid w:val="006B45C3"/>
    <w:rsid w:val="006C28B8"/>
    <w:rsid w:val="006C3114"/>
    <w:rsid w:val="006E073E"/>
    <w:rsid w:val="006E2704"/>
    <w:rsid w:val="006F1714"/>
    <w:rsid w:val="006F33FC"/>
    <w:rsid w:val="00711052"/>
    <w:rsid w:val="007112D8"/>
    <w:rsid w:val="007141D7"/>
    <w:rsid w:val="00716AB3"/>
    <w:rsid w:val="00717878"/>
    <w:rsid w:val="007207AD"/>
    <w:rsid w:val="00724AD1"/>
    <w:rsid w:val="00741138"/>
    <w:rsid w:val="00742C8D"/>
    <w:rsid w:val="007441C0"/>
    <w:rsid w:val="0074560F"/>
    <w:rsid w:val="00770A23"/>
    <w:rsid w:val="007804B6"/>
    <w:rsid w:val="00785894"/>
    <w:rsid w:val="00791AD1"/>
    <w:rsid w:val="00797FD7"/>
    <w:rsid w:val="007A5C99"/>
    <w:rsid w:val="007C75E8"/>
    <w:rsid w:val="007D2119"/>
    <w:rsid w:val="007D34C9"/>
    <w:rsid w:val="007D556C"/>
    <w:rsid w:val="007F3CD1"/>
    <w:rsid w:val="00800616"/>
    <w:rsid w:val="00807768"/>
    <w:rsid w:val="00810234"/>
    <w:rsid w:val="008206B2"/>
    <w:rsid w:val="00832F08"/>
    <w:rsid w:val="008335AC"/>
    <w:rsid w:val="008434C2"/>
    <w:rsid w:val="008434F4"/>
    <w:rsid w:val="008440A1"/>
    <w:rsid w:val="0084588E"/>
    <w:rsid w:val="0085561D"/>
    <w:rsid w:val="0086181B"/>
    <w:rsid w:val="0086189D"/>
    <w:rsid w:val="00872EAB"/>
    <w:rsid w:val="008739F9"/>
    <w:rsid w:val="00877AA3"/>
    <w:rsid w:val="00880B11"/>
    <w:rsid w:val="00894D8E"/>
    <w:rsid w:val="008958D1"/>
    <w:rsid w:val="008B7C69"/>
    <w:rsid w:val="008C0EC8"/>
    <w:rsid w:val="008C4323"/>
    <w:rsid w:val="008D17E1"/>
    <w:rsid w:val="008E04F3"/>
    <w:rsid w:val="009443AC"/>
    <w:rsid w:val="009551A2"/>
    <w:rsid w:val="00963011"/>
    <w:rsid w:val="00964421"/>
    <w:rsid w:val="00966705"/>
    <w:rsid w:val="00973E38"/>
    <w:rsid w:val="00992BFE"/>
    <w:rsid w:val="009B4B09"/>
    <w:rsid w:val="009E2838"/>
    <w:rsid w:val="009E466F"/>
    <w:rsid w:val="009F2481"/>
    <w:rsid w:val="009F7E09"/>
    <w:rsid w:val="00A11C23"/>
    <w:rsid w:val="00A12E6F"/>
    <w:rsid w:val="00A14AA7"/>
    <w:rsid w:val="00A1565C"/>
    <w:rsid w:val="00A17A78"/>
    <w:rsid w:val="00A2632F"/>
    <w:rsid w:val="00A34C23"/>
    <w:rsid w:val="00A55EA0"/>
    <w:rsid w:val="00A61025"/>
    <w:rsid w:val="00A6120C"/>
    <w:rsid w:val="00A930CF"/>
    <w:rsid w:val="00AA176F"/>
    <w:rsid w:val="00AA657C"/>
    <w:rsid w:val="00AB2790"/>
    <w:rsid w:val="00AB564A"/>
    <w:rsid w:val="00AC268F"/>
    <w:rsid w:val="00AD1184"/>
    <w:rsid w:val="00B132EE"/>
    <w:rsid w:val="00B16650"/>
    <w:rsid w:val="00B20B36"/>
    <w:rsid w:val="00B24F94"/>
    <w:rsid w:val="00B252B1"/>
    <w:rsid w:val="00B36E91"/>
    <w:rsid w:val="00B40BED"/>
    <w:rsid w:val="00B706BD"/>
    <w:rsid w:val="00B70A38"/>
    <w:rsid w:val="00BA79B5"/>
    <w:rsid w:val="00BD2557"/>
    <w:rsid w:val="00BE21D5"/>
    <w:rsid w:val="00BF2C56"/>
    <w:rsid w:val="00BF3012"/>
    <w:rsid w:val="00C005B8"/>
    <w:rsid w:val="00C030BB"/>
    <w:rsid w:val="00C04642"/>
    <w:rsid w:val="00C047B2"/>
    <w:rsid w:val="00C07B08"/>
    <w:rsid w:val="00C27D9D"/>
    <w:rsid w:val="00C36233"/>
    <w:rsid w:val="00C42C39"/>
    <w:rsid w:val="00C47CA6"/>
    <w:rsid w:val="00C56B04"/>
    <w:rsid w:val="00C65FEB"/>
    <w:rsid w:val="00C71A09"/>
    <w:rsid w:val="00C75701"/>
    <w:rsid w:val="00C84409"/>
    <w:rsid w:val="00CA603D"/>
    <w:rsid w:val="00CA76CE"/>
    <w:rsid w:val="00CC256F"/>
    <w:rsid w:val="00CC5D24"/>
    <w:rsid w:val="00CD306E"/>
    <w:rsid w:val="00CE1260"/>
    <w:rsid w:val="00D05B3F"/>
    <w:rsid w:val="00D1705F"/>
    <w:rsid w:val="00D1732D"/>
    <w:rsid w:val="00D31D09"/>
    <w:rsid w:val="00D355FC"/>
    <w:rsid w:val="00D46080"/>
    <w:rsid w:val="00D65513"/>
    <w:rsid w:val="00D77ACE"/>
    <w:rsid w:val="00D97F68"/>
    <w:rsid w:val="00DB0403"/>
    <w:rsid w:val="00DB2336"/>
    <w:rsid w:val="00DC7254"/>
    <w:rsid w:val="00DC7A17"/>
    <w:rsid w:val="00DE7368"/>
    <w:rsid w:val="00DF34D0"/>
    <w:rsid w:val="00E05510"/>
    <w:rsid w:val="00E2062B"/>
    <w:rsid w:val="00E219B9"/>
    <w:rsid w:val="00E24483"/>
    <w:rsid w:val="00E41B0A"/>
    <w:rsid w:val="00E41C93"/>
    <w:rsid w:val="00E468DE"/>
    <w:rsid w:val="00E65534"/>
    <w:rsid w:val="00E70491"/>
    <w:rsid w:val="00E728FF"/>
    <w:rsid w:val="00E77CEE"/>
    <w:rsid w:val="00E824AA"/>
    <w:rsid w:val="00E839ED"/>
    <w:rsid w:val="00E84D7B"/>
    <w:rsid w:val="00E85CCB"/>
    <w:rsid w:val="00EB148B"/>
    <w:rsid w:val="00EB3BD8"/>
    <w:rsid w:val="00ED308D"/>
    <w:rsid w:val="00ED3EA9"/>
    <w:rsid w:val="00EE6420"/>
    <w:rsid w:val="00EF0108"/>
    <w:rsid w:val="00EF11E6"/>
    <w:rsid w:val="00F0004A"/>
    <w:rsid w:val="00F10288"/>
    <w:rsid w:val="00F167F7"/>
    <w:rsid w:val="00F237EE"/>
    <w:rsid w:val="00F241BD"/>
    <w:rsid w:val="00F2747B"/>
    <w:rsid w:val="00F332C9"/>
    <w:rsid w:val="00F35BE2"/>
    <w:rsid w:val="00F64EEE"/>
    <w:rsid w:val="00F66A80"/>
    <w:rsid w:val="00F92949"/>
    <w:rsid w:val="00FB7333"/>
    <w:rsid w:val="00FE48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link w:val="Heading1Char"/>
    <w:uiPriority w:val="9"/>
    <w:qFormat/>
    <w:rsid w:val="00742C8D"/>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36233"/>
    <w:rPr>
      <w:color w:val="0000FF"/>
      <w:u w:val="single"/>
    </w:rPr>
  </w:style>
  <w:style w:type="paragraph" w:styleId="Header">
    <w:name w:val="header"/>
    <w:basedOn w:val="Normal"/>
    <w:link w:val="HeaderChar"/>
    <w:uiPriority w:val="99"/>
    <w:rsid w:val="00D1732D"/>
    <w:pPr>
      <w:tabs>
        <w:tab w:val="center" w:pos="4680"/>
        <w:tab w:val="right" w:pos="9360"/>
      </w:tabs>
    </w:pPr>
    <w:rPr>
      <w:lang/>
    </w:rPr>
  </w:style>
  <w:style w:type="character" w:customStyle="1" w:styleId="HeaderChar">
    <w:name w:val="Header Char"/>
    <w:link w:val="Header"/>
    <w:uiPriority w:val="99"/>
    <w:rsid w:val="00D1732D"/>
    <w:rPr>
      <w:sz w:val="24"/>
      <w:szCs w:val="24"/>
    </w:rPr>
  </w:style>
  <w:style w:type="paragraph" w:styleId="Footer">
    <w:name w:val="footer"/>
    <w:basedOn w:val="Normal"/>
    <w:link w:val="FooterChar"/>
    <w:uiPriority w:val="99"/>
    <w:rsid w:val="00D1732D"/>
    <w:pPr>
      <w:tabs>
        <w:tab w:val="center" w:pos="4680"/>
        <w:tab w:val="right" w:pos="9360"/>
      </w:tabs>
    </w:pPr>
    <w:rPr>
      <w:lang/>
    </w:rPr>
  </w:style>
  <w:style w:type="character" w:customStyle="1" w:styleId="FooterChar">
    <w:name w:val="Footer Char"/>
    <w:link w:val="Footer"/>
    <w:uiPriority w:val="99"/>
    <w:rsid w:val="00D1732D"/>
    <w:rPr>
      <w:sz w:val="24"/>
      <w:szCs w:val="24"/>
    </w:rPr>
  </w:style>
  <w:style w:type="paragraph" w:styleId="BalloonText">
    <w:name w:val="Balloon Text"/>
    <w:basedOn w:val="Normal"/>
    <w:link w:val="BalloonTextChar"/>
    <w:rsid w:val="0013469E"/>
    <w:rPr>
      <w:rFonts w:ascii="Tahoma" w:hAnsi="Tahoma"/>
      <w:sz w:val="16"/>
      <w:szCs w:val="16"/>
      <w:lang/>
    </w:rPr>
  </w:style>
  <w:style w:type="character" w:customStyle="1" w:styleId="BalloonTextChar">
    <w:name w:val="Balloon Text Char"/>
    <w:link w:val="BalloonText"/>
    <w:rsid w:val="0013469E"/>
    <w:rPr>
      <w:rFonts w:ascii="Tahoma" w:hAnsi="Tahoma" w:cs="Tahoma"/>
      <w:sz w:val="16"/>
      <w:szCs w:val="16"/>
    </w:rPr>
  </w:style>
  <w:style w:type="table" w:styleId="TableGrid">
    <w:name w:val="Table Grid"/>
    <w:basedOn w:val="TableNormal"/>
    <w:uiPriority w:val="59"/>
    <w:rsid w:val="00613E85"/>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711052"/>
    <w:pPr>
      <w:autoSpaceDE w:val="0"/>
      <w:autoSpaceDN w:val="0"/>
      <w:adjustRightInd w:val="0"/>
    </w:pPr>
    <w:rPr>
      <w:rFonts w:eastAsia="Calibri"/>
      <w:color w:val="000000"/>
      <w:sz w:val="24"/>
      <w:szCs w:val="24"/>
    </w:rPr>
  </w:style>
  <w:style w:type="paragraph" w:styleId="NormalWeb">
    <w:name w:val="Normal (Web)"/>
    <w:basedOn w:val="Normal"/>
    <w:uiPriority w:val="99"/>
    <w:unhideWhenUsed/>
    <w:rsid w:val="008B7C69"/>
    <w:pPr>
      <w:spacing w:before="100" w:beforeAutospacing="1" w:after="100" w:afterAutospacing="1"/>
    </w:pPr>
  </w:style>
  <w:style w:type="paragraph" w:styleId="ListParagraph">
    <w:name w:val="List Paragraph"/>
    <w:basedOn w:val="Normal"/>
    <w:uiPriority w:val="34"/>
    <w:qFormat/>
    <w:rsid w:val="00E05510"/>
    <w:pPr>
      <w:spacing w:line="480" w:lineRule="auto"/>
      <w:ind w:left="720"/>
      <w:contextualSpacing/>
    </w:pPr>
    <w:rPr>
      <w:rFonts w:eastAsia="Calibri"/>
      <w:szCs w:val="22"/>
    </w:rPr>
  </w:style>
  <w:style w:type="paragraph" w:styleId="NoSpacing">
    <w:name w:val="No Spacing"/>
    <w:uiPriority w:val="1"/>
    <w:qFormat/>
    <w:rsid w:val="008958D1"/>
    <w:rPr>
      <w:rFonts w:ascii="Calibri" w:eastAsia="Calibri" w:hAnsi="Calibri"/>
      <w:sz w:val="22"/>
      <w:szCs w:val="22"/>
    </w:rPr>
  </w:style>
  <w:style w:type="character" w:customStyle="1" w:styleId="StyleBookmanOldStyle1">
    <w:name w:val="Style Bookman Old Style1"/>
    <w:rsid w:val="003538C8"/>
    <w:rPr>
      <w:rFonts w:ascii="Bookman Old Style" w:hAnsi="Bookman Old Style" w:cs="Times New Roman" w:hint="default"/>
    </w:rPr>
  </w:style>
  <w:style w:type="character" w:styleId="PageNumber">
    <w:name w:val="page number"/>
    <w:basedOn w:val="DefaultParagraphFont"/>
    <w:rsid w:val="003538C8"/>
  </w:style>
  <w:style w:type="character" w:customStyle="1" w:styleId="algo-summary">
    <w:name w:val="algo-summary"/>
    <w:rsid w:val="004E3D0B"/>
  </w:style>
  <w:style w:type="table" w:customStyle="1" w:styleId="TableGrid1">
    <w:name w:val="Table Grid1"/>
    <w:basedOn w:val="TableNormal"/>
    <w:next w:val="TableGrid"/>
    <w:uiPriority w:val="59"/>
    <w:rsid w:val="00F241BD"/>
    <w:rPr>
      <w:rFonts w:ascii="Cambria" w:eastAsia="MS Mincho" w:hAnsi="Cambria"/>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uiPriority w:val="9"/>
    <w:rsid w:val="00742C8D"/>
    <w:rPr>
      <w:b/>
      <w:bCs/>
      <w:kern w:val="36"/>
      <w:sz w:val="48"/>
      <w:szCs w:val="4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283897">
      <w:bodyDiv w:val="1"/>
      <w:marLeft w:val="0"/>
      <w:marRight w:val="0"/>
      <w:marTop w:val="0"/>
      <w:marBottom w:val="0"/>
      <w:divBdr>
        <w:top w:val="none" w:sz="0" w:space="0" w:color="auto"/>
        <w:left w:val="none" w:sz="0" w:space="0" w:color="auto"/>
        <w:bottom w:val="none" w:sz="0" w:space="0" w:color="auto"/>
        <w:right w:val="none" w:sz="0" w:space="0" w:color="auto"/>
      </w:divBdr>
    </w:div>
    <w:div w:id="1047871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51244/IJRSI.2026.1304000072"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gaspublishers.com/gasjcmmr-vol-2-issue-9-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903B5-7300-4137-BA22-BC690BE73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1029</Words>
  <Characters>5869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RJEES Paper Template</vt:lpstr>
    </vt:vector>
  </TitlesOfParts>
  <Company>UNN</Company>
  <LinksUpToDate>false</LinksUpToDate>
  <CharactersWithSpaces>6885</CharactersWithSpaces>
  <SharedDoc>false</SharedDoc>
  <HLinks>
    <vt:vector size="6" baseType="variant">
      <vt:variant>
        <vt:i4>4259870</vt:i4>
      </vt:variant>
      <vt:variant>
        <vt:i4>0</vt:i4>
      </vt:variant>
      <vt:variant>
        <vt:i4>0</vt:i4>
      </vt:variant>
      <vt:variant>
        <vt:i4>5</vt:i4>
      </vt:variant>
      <vt:variant>
        <vt:lpwstr>http://www.rjees.com/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RJEES Paper Template</dc:title>
  <dc:subject/>
  <dc:creator>N.A. Amenaghawon</dc:creator>
  <cp:keywords/>
  <cp:lastModifiedBy>Windows User</cp:lastModifiedBy>
  <cp:revision>6</cp:revision>
  <cp:lastPrinted>2017-01-25T20:46:00Z</cp:lastPrinted>
  <dcterms:created xsi:type="dcterms:W3CDTF">2017-03-01T15:44:00Z</dcterms:created>
  <dcterms:modified xsi:type="dcterms:W3CDTF">2026-06-30T23:42:00Z</dcterms:modified>
</cp:coreProperties>
</file>